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A20991" w:rsidRDefault="00812385" w:rsidP="000418D5">
      <w:pPr>
        <w:rPr>
          <w:rFonts w:ascii="Garamond" w:hAnsi="Garamond"/>
        </w:rPr>
      </w:pPr>
      <w:r w:rsidRPr="00A20991">
        <w:rPr>
          <w:rFonts w:ascii="Garamond" w:hAnsi="Garamond"/>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A20991" w:rsidRDefault="00510B00" w:rsidP="000418D5">
      <w:pPr>
        <w:rPr>
          <w:rFonts w:ascii="Garamond" w:hAnsi="Garamond"/>
        </w:rPr>
      </w:pPr>
    </w:p>
    <w:p w14:paraId="00843314" w14:textId="48D5DE8D" w:rsidR="000418D5" w:rsidRPr="00A20991" w:rsidRDefault="00052176" w:rsidP="000418D5">
      <w:pPr>
        <w:rPr>
          <w:rFonts w:ascii="Garamond" w:hAnsi="Garamond"/>
          <w:b/>
          <w:bCs/>
        </w:rPr>
      </w:pPr>
      <w:r w:rsidRPr="00A20991">
        <w:rPr>
          <w:rFonts w:ascii="Garamond" w:hAnsi="Garamond"/>
          <w:b/>
          <w:bCs/>
        </w:rPr>
        <w:t>Pentecost</w:t>
      </w:r>
      <w:r w:rsidR="000418D5" w:rsidRPr="00A20991">
        <w:rPr>
          <w:rFonts w:ascii="Garamond" w:hAnsi="Garamond"/>
          <w:b/>
          <w:bCs/>
        </w:rPr>
        <w:t xml:space="preserve"> </w:t>
      </w:r>
      <w:r w:rsidR="00A20991" w:rsidRPr="00A20991">
        <w:rPr>
          <w:rFonts w:ascii="Garamond" w:hAnsi="Garamond"/>
          <w:b/>
          <w:bCs/>
        </w:rPr>
        <w:t>20</w:t>
      </w:r>
    </w:p>
    <w:p w14:paraId="43E43E1E" w14:textId="3B4F13E5" w:rsidR="007F63EA" w:rsidRPr="00A20991" w:rsidRDefault="000418D5" w:rsidP="000418D5">
      <w:pPr>
        <w:rPr>
          <w:rFonts w:ascii="Garamond" w:hAnsi="Garamond"/>
          <w:b/>
          <w:bCs/>
        </w:rPr>
      </w:pPr>
      <w:r w:rsidRPr="00A20991">
        <w:rPr>
          <w:rFonts w:ascii="Garamond" w:hAnsi="Garamond"/>
          <w:b/>
          <w:bCs/>
        </w:rPr>
        <w:t xml:space="preserve">Proper </w:t>
      </w:r>
      <w:r w:rsidR="004A066C" w:rsidRPr="00A20991">
        <w:rPr>
          <w:rFonts w:ascii="Garamond" w:hAnsi="Garamond"/>
          <w:b/>
          <w:bCs/>
        </w:rPr>
        <w:t>2</w:t>
      </w:r>
      <w:r w:rsidR="00A20991" w:rsidRPr="00A20991">
        <w:rPr>
          <w:rFonts w:ascii="Garamond" w:hAnsi="Garamond"/>
          <w:b/>
          <w:bCs/>
        </w:rPr>
        <w:t>4</w:t>
      </w:r>
      <w:r w:rsidR="001C45CF" w:rsidRPr="00A20991">
        <w:rPr>
          <w:rFonts w:ascii="Garamond" w:hAnsi="Garamond"/>
          <w:b/>
          <w:bCs/>
        </w:rPr>
        <w:t xml:space="preserve"> </w:t>
      </w:r>
      <w:r w:rsidR="00FB74C3" w:rsidRPr="00A20991">
        <w:rPr>
          <w:rFonts w:ascii="Garamond" w:hAnsi="Garamond"/>
          <w:b/>
          <w:bCs/>
        </w:rPr>
        <w:t>(A)</w:t>
      </w:r>
    </w:p>
    <w:p w14:paraId="014BDA41" w14:textId="1A36D403" w:rsidR="0074675F" w:rsidRPr="00A20991" w:rsidRDefault="00341D45" w:rsidP="000418D5">
      <w:pPr>
        <w:rPr>
          <w:rFonts w:ascii="Garamond" w:hAnsi="Garamond"/>
          <w:b/>
          <w:bCs/>
        </w:rPr>
      </w:pPr>
      <w:r w:rsidRPr="00A20991">
        <w:rPr>
          <w:rFonts w:ascii="Garamond" w:hAnsi="Garamond"/>
          <w:b/>
          <w:bCs/>
        </w:rPr>
        <w:t>October 1</w:t>
      </w:r>
      <w:r w:rsidR="00A20991" w:rsidRPr="00A20991">
        <w:rPr>
          <w:rFonts w:ascii="Garamond" w:hAnsi="Garamond"/>
          <w:b/>
          <w:bCs/>
        </w:rPr>
        <w:t>8</w:t>
      </w:r>
      <w:r w:rsidR="00527645" w:rsidRPr="00A20991">
        <w:rPr>
          <w:rFonts w:ascii="Garamond" w:hAnsi="Garamond"/>
          <w:b/>
          <w:bCs/>
        </w:rPr>
        <w:t>,</w:t>
      </w:r>
      <w:r w:rsidR="00B066BC" w:rsidRPr="00A20991">
        <w:rPr>
          <w:rFonts w:ascii="Garamond" w:hAnsi="Garamond"/>
          <w:b/>
          <w:bCs/>
        </w:rPr>
        <w:t xml:space="preserve"> 2020</w:t>
      </w:r>
    </w:p>
    <w:p w14:paraId="71F63598" w14:textId="77777777" w:rsidR="0074675F" w:rsidRPr="00A20991" w:rsidRDefault="0074675F" w:rsidP="000418D5">
      <w:pPr>
        <w:rPr>
          <w:rFonts w:ascii="Garamond" w:hAnsi="Garamond"/>
          <w:b/>
          <w:bCs/>
        </w:rPr>
      </w:pPr>
    </w:p>
    <w:p w14:paraId="76BB6BEF" w14:textId="0C9C115F" w:rsidR="00341D45" w:rsidRPr="00A20991" w:rsidRDefault="00A20991" w:rsidP="00341D45">
      <w:pPr>
        <w:pStyle w:val="NoSpacing"/>
        <w:spacing w:line="276" w:lineRule="auto"/>
        <w:rPr>
          <w:rFonts w:ascii="Garamond" w:hAnsi="Garamond"/>
          <w:b/>
          <w:bCs/>
        </w:rPr>
      </w:pPr>
      <w:r w:rsidRPr="00A20991">
        <w:rPr>
          <w:rFonts w:ascii="Garamond" w:hAnsi="Garamond"/>
          <w:b/>
          <w:bCs/>
        </w:rPr>
        <w:t>RCL: Exodus 33:12-23; Psalm 99; 1 Thessalonians 1:1-10; Matthew 22:15-22</w:t>
      </w:r>
    </w:p>
    <w:p w14:paraId="5A53265A" w14:textId="77777777" w:rsidR="00A20991" w:rsidRPr="00A20991" w:rsidRDefault="00A20991" w:rsidP="00341D45">
      <w:pPr>
        <w:pStyle w:val="NoSpacing"/>
        <w:spacing w:line="276" w:lineRule="auto"/>
        <w:rPr>
          <w:rFonts w:ascii="Garamond" w:eastAsia="Times New Roman" w:hAnsi="Garamond" w:cstheme="minorHAnsi"/>
          <w:b/>
          <w:bCs/>
        </w:rPr>
      </w:pPr>
    </w:p>
    <w:p w14:paraId="021D3D89" w14:textId="77777777" w:rsidR="00A20991" w:rsidRPr="00A20991" w:rsidRDefault="00A20991" w:rsidP="00A20991">
      <w:pPr>
        <w:spacing w:line="276" w:lineRule="auto"/>
        <w:rPr>
          <w:rFonts w:ascii="Garamond" w:hAnsi="Garamond"/>
          <w:b/>
          <w:bCs/>
        </w:rPr>
      </w:pPr>
      <w:r w:rsidRPr="00A20991">
        <w:rPr>
          <w:rFonts w:ascii="Garamond" w:hAnsi="Garamond"/>
          <w:b/>
          <w:bCs/>
        </w:rPr>
        <w:t>Exodus 33:12-23</w:t>
      </w:r>
    </w:p>
    <w:p w14:paraId="36CE5410" w14:textId="31EF70A0" w:rsidR="00A20991" w:rsidRPr="00A20991" w:rsidRDefault="00A20991" w:rsidP="00A20991">
      <w:pPr>
        <w:spacing w:line="276" w:lineRule="auto"/>
        <w:rPr>
          <w:rFonts w:ascii="Garamond" w:hAnsi="Garamond"/>
        </w:rPr>
      </w:pPr>
      <w:r w:rsidRPr="00A20991">
        <w:rPr>
          <w:rFonts w:ascii="Garamond" w:hAnsi="Garamond"/>
        </w:rPr>
        <w:t>The context of this passage is the sin of the golden calf and Moses</w:t>
      </w:r>
      <w:r>
        <w:rPr>
          <w:rFonts w:ascii="Garamond" w:hAnsi="Garamond"/>
        </w:rPr>
        <w:t>’</w:t>
      </w:r>
      <w:r w:rsidRPr="00A20991">
        <w:rPr>
          <w:rFonts w:ascii="Garamond" w:hAnsi="Garamond"/>
        </w:rPr>
        <w:t xml:space="preserve"> responding intercession on behalf of the Israelites. That act had granted a tentative reprieve, but Moses here reengages God with a frantic, bulldog-like quality that recalls Abraham</w:t>
      </w:r>
      <w:r>
        <w:rPr>
          <w:rFonts w:ascii="Garamond" w:hAnsi="Garamond"/>
        </w:rPr>
        <w:t>’</w:t>
      </w:r>
      <w:r w:rsidRPr="00A20991">
        <w:rPr>
          <w:rFonts w:ascii="Garamond" w:hAnsi="Garamond"/>
        </w:rPr>
        <w:t>s interaction with God over Sodom (Genesis 18). Moses thus has the courage to seek God, to ask for the forgiveness of his people, and even to fight for a further concession. In response, God</w:t>
      </w:r>
      <w:r>
        <w:rPr>
          <w:rFonts w:ascii="Garamond" w:hAnsi="Garamond"/>
        </w:rPr>
        <w:t>’</w:t>
      </w:r>
      <w:r w:rsidRPr="00A20991">
        <w:rPr>
          <w:rFonts w:ascii="Garamond" w:hAnsi="Garamond"/>
        </w:rPr>
        <w:t>s revelation is limited and partial, with the curiously round-about quality of God</w:t>
      </w:r>
      <w:r>
        <w:rPr>
          <w:rFonts w:ascii="Garamond" w:hAnsi="Garamond"/>
        </w:rPr>
        <w:t>’</w:t>
      </w:r>
      <w:r w:rsidRPr="00A20991">
        <w:rPr>
          <w:rFonts w:ascii="Garamond" w:hAnsi="Garamond"/>
        </w:rPr>
        <w:t xml:space="preserve">s self-description in verse 19: </w:t>
      </w:r>
      <w:r>
        <w:rPr>
          <w:rFonts w:ascii="Garamond" w:hAnsi="Garamond"/>
        </w:rPr>
        <w:t>“</w:t>
      </w:r>
      <w:r w:rsidRPr="00A20991">
        <w:rPr>
          <w:rFonts w:ascii="Garamond" w:hAnsi="Garamond"/>
        </w:rPr>
        <w:t>I will be gracious to whom I will be gracious,</w:t>
      </w:r>
      <w:r>
        <w:rPr>
          <w:rFonts w:ascii="Garamond" w:hAnsi="Garamond"/>
        </w:rPr>
        <w:t>”</w:t>
      </w:r>
      <w:r w:rsidRPr="00A20991">
        <w:rPr>
          <w:rFonts w:ascii="Garamond" w:hAnsi="Garamond"/>
        </w:rPr>
        <w:t xml:space="preserve"> echoing the famous </w:t>
      </w:r>
      <w:r>
        <w:rPr>
          <w:rFonts w:ascii="Garamond" w:hAnsi="Garamond"/>
        </w:rPr>
        <w:t>“</w:t>
      </w:r>
      <w:r w:rsidRPr="00A20991">
        <w:rPr>
          <w:rFonts w:ascii="Garamond" w:hAnsi="Garamond"/>
        </w:rPr>
        <w:t>I am</w:t>
      </w:r>
      <w:r>
        <w:rPr>
          <w:rFonts w:ascii="Garamond" w:hAnsi="Garamond"/>
        </w:rPr>
        <w:t>”</w:t>
      </w:r>
      <w:r w:rsidRPr="00A20991">
        <w:rPr>
          <w:rFonts w:ascii="Garamond" w:hAnsi="Garamond"/>
        </w:rPr>
        <w:t xml:space="preserve"> formula concerning God</w:t>
      </w:r>
      <w:r>
        <w:rPr>
          <w:rFonts w:ascii="Garamond" w:hAnsi="Garamond"/>
        </w:rPr>
        <w:t>’</w:t>
      </w:r>
      <w:r w:rsidRPr="00A20991">
        <w:rPr>
          <w:rFonts w:ascii="Garamond" w:hAnsi="Garamond"/>
        </w:rPr>
        <w:t>s name (Exodus 3:14).</w:t>
      </w:r>
    </w:p>
    <w:p w14:paraId="4D783286" w14:textId="77777777" w:rsidR="00A20991" w:rsidRPr="00A20991" w:rsidRDefault="00A20991" w:rsidP="00A20991">
      <w:pPr>
        <w:spacing w:line="276" w:lineRule="auto"/>
        <w:rPr>
          <w:rFonts w:ascii="Garamond" w:hAnsi="Garamond"/>
        </w:rPr>
      </w:pPr>
    </w:p>
    <w:p w14:paraId="247BB27F" w14:textId="4F57E49F" w:rsidR="00A20991" w:rsidRPr="00A20991" w:rsidRDefault="00A20991" w:rsidP="00A20991">
      <w:pPr>
        <w:spacing w:line="276" w:lineRule="auto"/>
        <w:rPr>
          <w:rFonts w:ascii="Garamond" w:hAnsi="Garamond"/>
        </w:rPr>
      </w:pPr>
      <w:r w:rsidRPr="00A20991">
        <w:rPr>
          <w:rFonts w:ascii="Garamond" w:hAnsi="Garamond"/>
        </w:rPr>
        <w:t>At stake, then, is our understanding of God as transcendent, untouchable, and unviewable, versus God</w:t>
      </w:r>
      <w:r>
        <w:rPr>
          <w:rFonts w:ascii="Garamond" w:hAnsi="Garamond"/>
        </w:rPr>
        <w:t>’</w:t>
      </w:r>
      <w:r w:rsidRPr="00A20991">
        <w:rPr>
          <w:rFonts w:ascii="Garamond" w:hAnsi="Garamond"/>
        </w:rPr>
        <w:t xml:space="preserve">s willingness to intervene on behalf of even the most stiff-necked of folks. The theophany that occurs in this story beautifully bears witness to both. Elsewhere, God will answer this question with another: </w:t>
      </w:r>
      <w:r>
        <w:rPr>
          <w:rFonts w:ascii="Garamond" w:hAnsi="Garamond"/>
        </w:rPr>
        <w:t>“</w:t>
      </w:r>
      <w:r w:rsidRPr="00A20991">
        <w:rPr>
          <w:rFonts w:ascii="Garamond" w:hAnsi="Garamond"/>
        </w:rPr>
        <w:t xml:space="preserve">Am I a God </w:t>
      </w:r>
      <w:proofErr w:type="spellStart"/>
      <w:r w:rsidRPr="00A20991">
        <w:rPr>
          <w:rFonts w:ascii="Garamond" w:hAnsi="Garamond"/>
        </w:rPr>
        <w:t>near by</w:t>
      </w:r>
      <w:proofErr w:type="spellEnd"/>
      <w:r w:rsidRPr="00A20991">
        <w:rPr>
          <w:rFonts w:ascii="Garamond" w:hAnsi="Garamond"/>
        </w:rPr>
        <w:t>, says the Lord, and not a God far off?</w:t>
      </w:r>
      <w:r>
        <w:rPr>
          <w:rFonts w:ascii="Garamond" w:hAnsi="Garamond"/>
        </w:rPr>
        <w:t>”</w:t>
      </w:r>
      <w:r w:rsidRPr="00A20991">
        <w:rPr>
          <w:rFonts w:ascii="Garamond" w:hAnsi="Garamond"/>
        </w:rPr>
        <w:t xml:space="preserve"> (Jeremiah 23:23).</w:t>
      </w:r>
    </w:p>
    <w:p w14:paraId="3769D25B" w14:textId="77777777" w:rsidR="00A20991" w:rsidRPr="00A20991" w:rsidRDefault="00A20991" w:rsidP="00A20991">
      <w:pPr>
        <w:spacing w:line="276" w:lineRule="auto"/>
        <w:rPr>
          <w:rFonts w:ascii="Garamond" w:hAnsi="Garamond"/>
        </w:rPr>
      </w:pPr>
    </w:p>
    <w:p w14:paraId="387B83F6" w14:textId="37F2FAA8" w:rsidR="00A20991" w:rsidRPr="00A20991" w:rsidRDefault="00A20991" w:rsidP="0045065C">
      <w:pPr>
        <w:pStyle w:val="ListParagraph"/>
        <w:numPr>
          <w:ilvl w:val="0"/>
          <w:numId w:val="1"/>
        </w:numPr>
        <w:spacing w:line="276" w:lineRule="auto"/>
        <w:rPr>
          <w:rFonts w:ascii="Garamond" w:hAnsi="Garamond"/>
        </w:rPr>
      </w:pPr>
      <w:r w:rsidRPr="00A20991">
        <w:rPr>
          <w:rFonts w:ascii="Garamond" w:hAnsi="Garamond"/>
        </w:rPr>
        <w:t xml:space="preserve">In our prayer lives, when do we know that </w:t>
      </w:r>
      <w:r>
        <w:rPr>
          <w:rFonts w:ascii="Garamond" w:hAnsi="Garamond"/>
        </w:rPr>
        <w:t>“</w:t>
      </w:r>
      <w:r w:rsidRPr="00A20991">
        <w:rPr>
          <w:rFonts w:ascii="Garamond" w:hAnsi="Garamond"/>
        </w:rPr>
        <w:t>enough is enough</w:t>
      </w:r>
      <w:r>
        <w:rPr>
          <w:rFonts w:ascii="Garamond" w:hAnsi="Garamond"/>
        </w:rPr>
        <w:t>”</w:t>
      </w:r>
      <w:r w:rsidRPr="00A20991">
        <w:rPr>
          <w:rFonts w:ascii="Garamond" w:hAnsi="Garamond"/>
        </w:rPr>
        <w:t xml:space="preserve"> and one should let go of a prayer? When is it more important to keep pushing?</w:t>
      </w:r>
    </w:p>
    <w:p w14:paraId="75823554" w14:textId="77777777" w:rsidR="00A20991" w:rsidRPr="00A20991" w:rsidRDefault="00A20991" w:rsidP="0045065C">
      <w:pPr>
        <w:pStyle w:val="ListParagraph"/>
        <w:numPr>
          <w:ilvl w:val="0"/>
          <w:numId w:val="1"/>
        </w:numPr>
        <w:spacing w:line="276" w:lineRule="auto"/>
        <w:rPr>
          <w:rFonts w:ascii="Garamond" w:hAnsi="Garamond"/>
        </w:rPr>
      </w:pPr>
      <w:r w:rsidRPr="00A20991">
        <w:rPr>
          <w:rFonts w:ascii="Garamond" w:hAnsi="Garamond"/>
        </w:rPr>
        <w:t>What do you imagine that Moses sees in this scene?</w:t>
      </w:r>
    </w:p>
    <w:p w14:paraId="2FB8755C" w14:textId="77777777" w:rsidR="00A20991" w:rsidRPr="00A20991" w:rsidRDefault="00A20991" w:rsidP="00A20991">
      <w:pPr>
        <w:spacing w:line="276" w:lineRule="auto"/>
        <w:rPr>
          <w:rFonts w:ascii="Garamond" w:hAnsi="Garamond"/>
        </w:rPr>
      </w:pPr>
    </w:p>
    <w:p w14:paraId="1F44C3DD" w14:textId="71B7B570" w:rsidR="00A20991" w:rsidRPr="00A20991" w:rsidRDefault="00A20991" w:rsidP="00A20991">
      <w:pPr>
        <w:spacing w:line="276" w:lineRule="auto"/>
        <w:rPr>
          <w:rFonts w:ascii="Garamond" w:hAnsi="Garamond"/>
          <w:b/>
          <w:bCs/>
        </w:rPr>
      </w:pPr>
      <w:r w:rsidRPr="00A20991">
        <w:rPr>
          <w:rFonts w:ascii="Garamond" w:hAnsi="Garamond"/>
          <w:b/>
          <w:bCs/>
        </w:rPr>
        <w:t>Psalm 99</w:t>
      </w:r>
    </w:p>
    <w:p w14:paraId="2C1AC1F0" w14:textId="71D03864" w:rsidR="00A20991" w:rsidRPr="00A20991" w:rsidRDefault="00A20991" w:rsidP="00A20991">
      <w:pPr>
        <w:spacing w:line="276" w:lineRule="auto"/>
        <w:rPr>
          <w:rFonts w:ascii="Garamond" w:hAnsi="Garamond"/>
        </w:rPr>
      </w:pPr>
      <w:r w:rsidRPr="00A20991">
        <w:rPr>
          <w:rFonts w:ascii="Garamond" w:hAnsi="Garamond"/>
        </w:rPr>
        <w:t>In this psalm, we hear both of God</w:t>
      </w:r>
      <w:r>
        <w:rPr>
          <w:rFonts w:ascii="Garamond" w:hAnsi="Garamond"/>
        </w:rPr>
        <w:t>’</w:t>
      </w:r>
      <w:r w:rsidRPr="00A20991">
        <w:rPr>
          <w:rFonts w:ascii="Garamond" w:hAnsi="Garamond"/>
        </w:rPr>
        <w:t>s particularity, as revealed through God</w:t>
      </w:r>
      <w:r>
        <w:rPr>
          <w:rFonts w:ascii="Garamond" w:hAnsi="Garamond"/>
        </w:rPr>
        <w:t>’</w:t>
      </w:r>
      <w:r w:rsidRPr="00A20991">
        <w:rPr>
          <w:rFonts w:ascii="Garamond" w:hAnsi="Garamond"/>
        </w:rPr>
        <w:t>s relationship with Israel, and God</w:t>
      </w:r>
      <w:r>
        <w:rPr>
          <w:rFonts w:ascii="Garamond" w:hAnsi="Garamond"/>
        </w:rPr>
        <w:t>’</w:t>
      </w:r>
      <w:r w:rsidRPr="00A20991">
        <w:rPr>
          <w:rFonts w:ascii="Garamond" w:hAnsi="Garamond"/>
        </w:rPr>
        <w:t xml:space="preserve">s universality, through the magnificent language of holiness. Importantly, it balances both mercy and justice, such that holiness is not a </w:t>
      </w:r>
      <w:r>
        <w:rPr>
          <w:rFonts w:ascii="Garamond" w:hAnsi="Garamond"/>
        </w:rPr>
        <w:t>“</w:t>
      </w:r>
      <w:r w:rsidRPr="00A20991">
        <w:rPr>
          <w:rFonts w:ascii="Garamond" w:hAnsi="Garamond"/>
        </w:rPr>
        <w:t>separatist stance but a relational stance</w:t>
      </w:r>
      <w:r>
        <w:rPr>
          <w:rFonts w:ascii="Garamond" w:hAnsi="Garamond"/>
        </w:rPr>
        <w:t>”</w:t>
      </w:r>
      <w:r w:rsidRPr="00A20991">
        <w:rPr>
          <w:rFonts w:ascii="Garamond" w:hAnsi="Garamond"/>
        </w:rPr>
        <w:t xml:space="preserve"> and, like the Exodus reading, it speaks to the paradox of a God </w:t>
      </w:r>
      <w:r>
        <w:rPr>
          <w:rFonts w:ascii="Garamond" w:hAnsi="Garamond"/>
        </w:rPr>
        <w:t>“</w:t>
      </w:r>
      <w:r w:rsidRPr="00A20991">
        <w:rPr>
          <w:rFonts w:ascii="Garamond" w:hAnsi="Garamond"/>
        </w:rPr>
        <w:t>not set apart from the world, but rather set apart to the world.</w:t>
      </w:r>
      <w:r>
        <w:rPr>
          <w:rFonts w:ascii="Garamond" w:hAnsi="Garamond"/>
        </w:rPr>
        <w:t>”</w:t>
      </w:r>
      <w:r w:rsidRPr="00A20991">
        <w:rPr>
          <w:rStyle w:val="FootnoteReference"/>
          <w:rFonts w:ascii="Garamond" w:hAnsi="Garamond"/>
        </w:rPr>
        <w:footnoteReference w:id="1"/>
      </w:r>
      <w:r w:rsidRPr="00A20991">
        <w:rPr>
          <w:rFonts w:ascii="Garamond" w:hAnsi="Garamond"/>
        </w:rPr>
        <w:t xml:space="preserve"> Israel is called to have such a relationship reciprocally with God.</w:t>
      </w:r>
    </w:p>
    <w:p w14:paraId="48826425" w14:textId="77777777" w:rsidR="00A20991" w:rsidRPr="00A20991" w:rsidRDefault="00A20991" w:rsidP="00A20991">
      <w:pPr>
        <w:spacing w:line="276" w:lineRule="auto"/>
        <w:rPr>
          <w:rFonts w:ascii="Garamond" w:hAnsi="Garamond"/>
        </w:rPr>
      </w:pPr>
    </w:p>
    <w:p w14:paraId="198EE710" w14:textId="77A0F040" w:rsidR="00A20991" w:rsidRPr="00A20991" w:rsidRDefault="00A20991" w:rsidP="00A20991">
      <w:pPr>
        <w:spacing w:line="276" w:lineRule="auto"/>
        <w:rPr>
          <w:rFonts w:ascii="Garamond" w:hAnsi="Garamond"/>
        </w:rPr>
      </w:pPr>
      <w:r w:rsidRPr="00A20991">
        <w:rPr>
          <w:rFonts w:ascii="Garamond" w:hAnsi="Garamond"/>
        </w:rPr>
        <w:t>How does the psalm suggest we manage that? It appeals to the great tradition of famous intercessors from the past who have done that very thing, mediated in awesome and fabulous ways, throughout Israel</w:t>
      </w:r>
      <w:r>
        <w:rPr>
          <w:rFonts w:ascii="Garamond" w:hAnsi="Garamond"/>
        </w:rPr>
        <w:t>’</w:t>
      </w:r>
      <w:r w:rsidRPr="00A20991">
        <w:rPr>
          <w:rFonts w:ascii="Garamond" w:hAnsi="Garamond"/>
        </w:rPr>
        <w:t>s history. Moses receives particular attention as an interlocutor between humanity and God, with six references occurring in this section of the Book of Psalms (90-106).</w:t>
      </w:r>
    </w:p>
    <w:p w14:paraId="7888E161" w14:textId="77777777" w:rsidR="00A20991" w:rsidRPr="00A20991" w:rsidRDefault="00A20991" w:rsidP="00A20991">
      <w:pPr>
        <w:spacing w:line="276" w:lineRule="auto"/>
        <w:rPr>
          <w:rFonts w:ascii="Garamond" w:hAnsi="Garamond"/>
        </w:rPr>
      </w:pPr>
    </w:p>
    <w:p w14:paraId="1A43003F" w14:textId="17DCC669" w:rsidR="00A20991" w:rsidRPr="00A20991" w:rsidRDefault="00A20991" w:rsidP="00A20991">
      <w:pPr>
        <w:spacing w:line="276" w:lineRule="auto"/>
        <w:rPr>
          <w:rFonts w:ascii="Garamond" w:hAnsi="Garamond"/>
        </w:rPr>
      </w:pPr>
      <w:r w:rsidRPr="00A20991">
        <w:rPr>
          <w:rFonts w:ascii="Garamond" w:hAnsi="Garamond"/>
        </w:rPr>
        <w:lastRenderedPageBreak/>
        <w:t>Our challenge is to recognize our capacity to be such an intercessor, in the line of Moses, Aaron, and Samuel, so that we might help God</w:t>
      </w:r>
      <w:r>
        <w:rPr>
          <w:rFonts w:ascii="Garamond" w:hAnsi="Garamond"/>
        </w:rPr>
        <w:t>’</w:t>
      </w:r>
      <w:r w:rsidRPr="00A20991">
        <w:rPr>
          <w:rFonts w:ascii="Garamond" w:hAnsi="Garamond"/>
        </w:rPr>
        <w:t>s people speak with God today.</w:t>
      </w:r>
    </w:p>
    <w:p w14:paraId="19890021" w14:textId="77777777" w:rsidR="00A20991" w:rsidRPr="00A20991" w:rsidRDefault="00A20991" w:rsidP="00A20991">
      <w:pPr>
        <w:spacing w:line="276" w:lineRule="auto"/>
        <w:rPr>
          <w:rFonts w:ascii="Garamond" w:hAnsi="Garamond"/>
        </w:rPr>
      </w:pPr>
    </w:p>
    <w:p w14:paraId="176D238B" w14:textId="4EA62E4C" w:rsidR="00A20991" w:rsidRPr="00A20991" w:rsidRDefault="00A20991" w:rsidP="0045065C">
      <w:pPr>
        <w:pStyle w:val="ListParagraph"/>
        <w:numPr>
          <w:ilvl w:val="0"/>
          <w:numId w:val="2"/>
        </w:numPr>
        <w:spacing w:line="276" w:lineRule="auto"/>
        <w:rPr>
          <w:rFonts w:ascii="Garamond" w:hAnsi="Garamond"/>
        </w:rPr>
      </w:pPr>
      <w:r w:rsidRPr="00A20991">
        <w:rPr>
          <w:rFonts w:ascii="Garamond" w:hAnsi="Garamond"/>
        </w:rPr>
        <w:t>Some translations render the second half of 99:3, referring to God</w:t>
      </w:r>
      <w:r>
        <w:rPr>
          <w:rFonts w:ascii="Garamond" w:hAnsi="Garamond"/>
        </w:rPr>
        <w:t>’</w:t>
      </w:r>
      <w:r w:rsidRPr="00A20991">
        <w:rPr>
          <w:rFonts w:ascii="Garamond" w:hAnsi="Garamond"/>
        </w:rPr>
        <w:t xml:space="preserve">s holiness, as </w:t>
      </w:r>
      <w:r>
        <w:rPr>
          <w:rFonts w:ascii="Garamond" w:hAnsi="Garamond"/>
        </w:rPr>
        <w:t>“</w:t>
      </w:r>
      <w:r w:rsidRPr="00A20991">
        <w:rPr>
          <w:rFonts w:ascii="Garamond" w:hAnsi="Garamond"/>
        </w:rPr>
        <w:t>Holy is He!</w:t>
      </w:r>
      <w:r>
        <w:rPr>
          <w:rFonts w:ascii="Garamond" w:hAnsi="Garamond"/>
        </w:rPr>
        <w:t>”</w:t>
      </w:r>
      <w:r w:rsidRPr="00A20991">
        <w:rPr>
          <w:rFonts w:ascii="Garamond" w:hAnsi="Garamond"/>
        </w:rPr>
        <w:t xml:space="preserve"> (ESV) or </w:t>
      </w:r>
      <w:r>
        <w:rPr>
          <w:rFonts w:ascii="Garamond" w:hAnsi="Garamond"/>
        </w:rPr>
        <w:t>“</w:t>
      </w:r>
      <w:r w:rsidRPr="00A20991">
        <w:rPr>
          <w:rFonts w:ascii="Garamond" w:hAnsi="Garamond"/>
        </w:rPr>
        <w:t>He is Holy</w:t>
      </w:r>
      <w:r>
        <w:rPr>
          <w:rFonts w:ascii="Garamond" w:hAnsi="Garamond"/>
        </w:rPr>
        <w:t>”</w:t>
      </w:r>
      <w:r w:rsidRPr="00A20991">
        <w:rPr>
          <w:rFonts w:ascii="Garamond" w:hAnsi="Garamond"/>
        </w:rPr>
        <w:t xml:space="preserve"> (NIV). (Interestingly, the King James Version reads </w:t>
      </w:r>
      <w:r>
        <w:rPr>
          <w:rFonts w:ascii="Garamond" w:hAnsi="Garamond"/>
        </w:rPr>
        <w:t>“</w:t>
      </w:r>
      <w:r w:rsidRPr="00A20991">
        <w:rPr>
          <w:rFonts w:ascii="Garamond" w:hAnsi="Garamond"/>
        </w:rPr>
        <w:t>for it is holy.</w:t>
      </w:r>
      <w:r>
        <w:rPr>
          <w:rFonts w:ascii="Garamond" w:hAnsi="Garamond"/>
        </w:rPr>
        <w:t>”</w:t>
      </w:r>
      <w:r w:rsidRPr="00A20991">
        <w:rPr>
          <w:rFonts w:ascii="Garamond" w:hAnsi="Garamond"/>
        </w:rPr>
        <w:t>) How do those translations, and the Book of Common Prayer</w:t>
      </w:r>
      <w:r>
        <w:rPr>
          <w:rFonts w:ascii="Garamond" w:hAnsi="Garamond"/>
        </w:rPr>
        <w:t>’</w:t>
      </w:r>
      <w:r w:rsidRPr="00A20991">
        <w:rPr>
          <w:rFonts w:ascii="Garamond" w:hAnsi="Garamond"/>
        </w:rPr>
        <w:t xml:space="preserve">s </w:t>
      </w:r>
      <w:r>
        <w:rPr>
          <w:rFonts w:ascii="Garamond" w:hAnsi="Garamond"/>
        </w:rPr>
        <w:t>“</w:t>
      </w:r>
      <w:r w:rsidRPr="00A20991">
        <w:rPr>
          <w:rFonts w:ascii="Garamond" w:hAnsi="Garamond"/>
        </w:rPr>
        <w:t>he is the Holy One,</w:t>
      </w:r>
      <w:r>
        <w:rPr>
          <w:rFonts w:ascii="Garamond" w:hAnsi="Garamond"/>
        </w:rPr>
        <w:t>”</w:t>
      </w:r>
      <w:r w:rsidRPr="00A20991">
        <w:rPr>
          <w:rFonts w:ascii="Garamond" w:hAnsi="Garamond"/>
        </w:rPr>
        <w:t xml:space="preserve"> add to or detract from your understanding of God?</w:t>
      </w:r>
    </w:p>
    <w:p w14:paraId="43D55287" w14:textId="77777777" w:rsidR="00A20991" w:rsidRPr="00A20991" w:rsidRDefault="00A20991" w:rsidP="00A20991">
      <w:pPr>
        <w:spacing w:line="276" w:lineRule="auto"/>
        <w:rPr>
          <w:rFonts w:ascii="Garamond" w:hAnsi="Garamond"/>
        </w:rPr>
      </w:pPr>
    </w:p>
    <w:p w14:paraId="50F936E1" w14:textId="77777777" w:rsidR="00A20991" w:rsidRPr="00A20991" w:rsidRDefault="00A20991" w:rsidP="00A20991">
      <w:pPr>
        <w:spacing w:line="276" w:lineRule="auto"/>
        <w:rPr>
          <w:rFonts w:ascii="Garamond" w:hAnsi="Garamond"/>
          <w:b/>
          <w:bCs/>
        </w:rPr>
      </w:pPr>
      <w:r w:rsidRPr="00A20991">
        <w:rPr>
          <w:rFonts w:ascii="Garamond" w:hAnsi="Garamond"/>
          <w:b/>
          <w:bCs/>
        </w:rPr>
        <w:t>1 Thessalonians 1:1-10</w:t>
      </w:r>
    </w:p>
    <w:p w14:paraId="03BB361A" w14:textId="70ED497D" w:rsidR="00A20991" w:rsidRPr="00A20991" w:rsidRDefault="00A20991" w:rsidP="00A20991">
      <w:pPr>
        <w:spacing w:line="276" w:lineRule="auto"/>
        <w:rPr>
          <w:rFonts w:ascii="Garamond" w:hAnsi="Garamond"/>
        </w:rPr>
      </w:pPr>
      <w:r w:rsidRPr="00A20991">
        <w:rPr>
          <w:rFonts w:ascii="Garamond" w:hAnsi="Garamond"/>
        </w:rPr>
        <w:t>Since they are generally recognized to be the oldest Christian writing available to us, I read these lines of Scripture with a particular awe. That understanding, of course, must be tempered by the reality that the letter itself was written deep into Paul</w:t>
      </w:r>
      <w:r>
        <w:rPr>
          <w:rFonts w:ascii="Garamond" w:hAnsi="Garamond"/>
        </w:rPr>
        <w:t>’</w:t>
      </w:r>
      <w:r w:rsidRPr="00A20991">
        <w:rPr>
          <w:rFonts w:ascii="Garamond" w:hAnsi="Garamond"/>
        </w:rPr>
        <w:t>s ministerial career. Thus, although we are reading 1 Thessalonians as the earliest of Christian witness among the extant letters, it demonstrates a writer already well-versed in his subject material. Already present then are Paul</w:t>
      </w:r>
      <w:r>
        <w:rPr>
          <w:rFonts w:ascii="Garamond" w:hAnsi="Garamond"/>
        </w:rPr>
        <w:t>’</w:t>
      </w:r>
      <w:r w:rsidRPr="00A20991">
        <w:rPr>
          <w:rFonts w:ascii="Garamond" w:hAnsi="Garamond"/>
        </w:rPr>
        <w:t xml:space="preserve">s famous triad of </w:t>
      </w:r>
      <w:r>
        <w:rPr>
          <w:rFonts w:ascii="Garamond" w:hAnsi="Garamond"/>
        </w:rPr>
        <w:t>“</w:t>
      </w:r>
      <w:r w:rsidRPr="00A20991">
        <w:rPr>
          <w:rFonts w:ascii="Garamond" w:hAnsi="Garamond"/>
        </w:rPr>
        <w:t>faith, hope and love</w:t>
      </w:r>
      <w:r>
        <w:rPr>
          <w:rFonts w:ascii="Garamond" w:hAnsi="Garamond"/>
        </w:rPr>
        <w:t>”</w:t>
      </w:r>
      <w:r w:rsidRPr="00A20991">
        <w:rPr>
          <w:rFonts w:ascii="Garamond" w:hAnsi="Garamond"/>
        </w:rPr>
        <w:t xml:space="preserve"> in verse 3, the statement of High Christology in verse 1, and all the tantalizing clues to the history of the Early Church.</w:t>
      </w:r>
    </w:p>
    <w:p w14:paraId="6A4BC8B6" w14:textId="77777777" w:rsidR="00A20991" w:rsidRPr="00A20991" w:rsidRDefault="00A20991" w:rsidP="00A20991">
      <w:pPr>
        <w:spacing w:line="276" w:lineRule="auto"/>
        <w:rPr>
          <w:rFonts w:ascii="Garamond" w:hAnsi="Garamond"/>
        </w:rPr>
      </w:pPr>
    </w:p>
    <w:p w14:paraId="40172730" w14:textId="608F392F" w:rsidR="00A20991" w:rsidRPr="00A20991" w:rsidRDefault="00A20991" w:rsidP="00A20991">
      <w:pPr>
        <w:spacing w:line="276" w:lineRule="auto"/>
        <w:rPr>
          <w:rFonts w:ascii="Garamond" w:hAnsi="Garamond"/>
        </w:rPr>
      </w:pPr>
      <w:r w:rsidRPr="00A20991">
        <w:rPr>
          <w:rFonts w:ascii="Garamond" w:hAnsi="Garamond"/>
        </w:rPr>
        <w:t>For us today, we might encounter Paul</w:t>
      </w:r>
      <w:r>
        <w:rPr>
          <w:rFonts w:ascii="Garamond" w:hAnsi="Garamond"/>
        </w:rPr>
        <w:t>’</w:t>
      </w:r>
      <w:r w:rsidRPr="00A20991">
        <w:rPr>
          <w:rFonts w:ascii="Garamond" w:hAnsi="Garamond"/>
        </w:rPr>
        <w:t xml:space="preserve">s statement about becoming </w:t>
      </w:r>
      <w:r>
        <w:rPr>
          <w:rFonts w:ascii="Garamond" w:hAnsi="Garamond"/>
        </w:rPr>
        <w:t>“</w:t>
      </w:r>
      <w:r w:rsidRPr="00A20991">
        <w:rPr>
          <w:rFonts w:ascii="Garamond" w:hAnsi="Garamond"/>
        </w:rPr>
        <w:t>imitators of us and of the Lord</w:t>
      </w:r>
      <w:r>
        <w:rPr>
          <w:rFonts w:ascii="Garamond" w:hAnsi="Garamond"/>
        </w:rPr>
        <w:t>”</w:t>
      </w:r>
      <w:r w:rsidRPr="00A20991">
        <w:rPr>
          <w:rFonts w:ascii="Garamond" w:hAnsi="Garamond"/>
        </w:rPr>
        <w:t xml:space="preserve"> (v. 6) as somewhat arrogant. Given Paul</w:t>
      </w:r>
      <w:r>
        <w:rPr>
          <w:rFonts w:ascii="Garamond" w:hAnsi="Garamond"/>
        </w:rPr>
        <w:t>’</w:t>
      </w:r>
      <w:r w:rsidRPr="00A20991">
        <w:rPr>
          <w:rFonts w:ascii="Garamond" w:hAnsi="Garamond"/>
        </w:rPr>
        <w:t>s context, one without the long history and tradition of Christian apologetics with which we are blessed, it is not only logical that Paul would point to himself as a model but, given the persecution that he mentions in the same line, utterly brave.</w:t>
      </w:r>
    </w:p>
    <w:p w14:paraId="1049F3DD" w14:textId="77777777" w:rsidR="00A20991" w:rsidRPr="00A20991" w:rsidRDefault="00A20991" w:rsidP="00A20991">
      <w:pPr>
        <w:spacing w:line="276" w:lineRule="auto"/>
        <w:rPr>
          <w:rFonts w:ascii="Garamond" w:hAnsi="Garamond"/>
        </w:rPr>
      </w:pPr>
    </w:p>
    <w:p w14:paraId="53472890" w14:textId="42B0ECF4" w:rsidR="00A20991" w:rsidRPr="00A20991" w:rsidRDefault="00A20991" w:rsidP="0045065C">
      <w:pPr>
        <w:pStyle w:val="ListParagraph"/>
        <w:numPr>
          <w:ilvl w:val="0"/>
          <w:numId w:val="2"/>
        </w:numPr>
        <w:spacing w:line="276" w:lineRule="auto"/>
        <w:rPr>
          <w:rFonts w:ascii="Garamond" w:hAnsi="Garamond"/>
        </w:rPr>
      </w:pPr>
      <w:r w:rsidRPr="00A20991">
        <w:rPr>
          <w:rFonts w:ascii="Garamond" w:hAnsi="Garamond"/>
        </w:rPr>
        <w:t>After reading this selection, how do you read the second person pronoun in the next chapter</w:t>
      </w:r>
      <w:r>
        <w:rPr>
          <w:rFonts w:ascii="Garamond" w:hAnsi="Garamond"/>
        </w:rPr>
        <w:t>’</w:t>
      </w:r>
      <w:r w:rsidRPr="00A20991">
        <w:rPr>
          <w:rFonts w:ascii="Garamond" w:hAnsi="Garamond"/>
        </w:rPr>
        <w:t>s verse 4? As singular or plural? Why?</w:t>
      </w:r>
    </w:p>
    <w:p w14:paraId="7A879D43" w14:textId="77777777" w:rsidR="00A20991" w:rsidRPr="00A20991" w:rsidRDefault="00A20991" w:rsidP="00A20991">
      <w:pPr>
        <w:spacing w:line="276" w:lineRule="auto"/>
        <w:rPr>
          <w:rFonts w:ascii="Garamond" w:hAnsi="Garamond"/>
        </w:rPr>
      </w:pPr>
    </w:p>
    <w:p w14:paraId="6BEC0B21" w14:textId="001D2E58" w:rsidR="00A20991" w:rsidRPr="00A20991" w:rsidRDefault="00A20991" w:rsidP="00A20991">
      <w:pPr>
        <w:spacing w:line="276" w:lineRule="auto"/>
        <w:rPr>
          <w:rFonts w:ascii="Garamond" w:hAnsi="Garamond"/>
          <w:b/>
          <w:bCs/>
        </w:rPr>
      </w:pPr>
      <w:r w:rsidRPr="00A20991">
        <w:rPr>
          <w:rFonts w:ascii="Garamond" w:hAnsi="Garamond"/>
          <w:b/>
          <w:bCs/>
        </w:rPr>
        <w:t>Matthew 22:15-22</w:t>
      </w:r>
    </w:p>
    <w:p w14:paraId="5973E3A1" w14:textId="7301E10A" w:rsidR="00A20991" w:rsidRPr="00A20991" w:rsidRDefault="00A20991" w:rsidP="00A20991">
      <w:pPr>
        <w:spacing w:line="276" w:lineRule="auto"/>
        <w:rPr>
          <w:rFonts w:ascii="Garamond" w:hAnsi="Garamond"/>
        </w:rPr>
      </w:pPr>
      <w:r w:rsidRPr="00A20991">
        <w:rPr>
          <w:rFonts w:ascii="Garamond" w:hAnsi="Garamond"/>
        </w:rPr>
        <w:t>If there had been a modern press pool following Jesus and the Pharisees</w:t>
      </w:r>
      <w:r>
        <w:rPr>
          <w:rFonts w:ascii="Garamond" w:hAnsi="Garamond"/>
        </w:rPr>
        <w:t>’</w:t>
      </w:r>
      <w:r w:rsidRPr="00A20991">
        <w:rPr>
          <w:rFonts w:ascii="Garamond" w:hAnsi="Garamond"/>
        </w:rPr>
        <w:t xml:space="preserve"> exchange, an enterprising journalist might have asked the follow-up question: </w:t>
      </w:r>
      <w:r>
        <w:rPr>
          <w:rFonts w:ascii="Garamond" w:hAnsi="Garamond"/>
        </w:rPr>
        <w:t>“</w:t>
      </w:r>
      <w:r w:rsidRPr="00A20991">
        <w:rPr>
          <w:rFonts w:ascii="Garamond" w:hAnsi="Garamond"/>
        </w:rPr>
        <w:t>What are the things entitled to the emperor? And what are the things entitled to God?</w:t>
      </w:r>
      <w:r>
        <w:rPr>
          <w:rFonts w:ascii="Garamond" w:hAnsi="Garamond"/>
        </w:rPr>
        <w:t>”</w:t>
      </w:r>
      <w:r w:rsidRPr="00A20991">
        <w:rPr>
          <w:rFonts w:ascii="Garamond" w:hAnsi="Garamond"/>
        </w:rPr>
        <w:t xml:space="preserve"> Such a clarifying rejoinder was not, however, asked or recorded, as in fact, Matthew continues his narrative with yet another exchange between Jesus and the hostile opposition.</w:t>
      </w:r>
    </w:p>
    <w:p w14:paraId="4DF06E08" w14:textId="2131ABE2" w:rsidR="00A20991" w:rsidRPr="00A20991" w:rsidRDefault="00A20991" w:rsidP="00A20991">
      <w:pPr>
        <w:spacing w:line="276" w:lineRule="auto"/>
        <w:rPr>
          <w:rFonts w:ascii="Garamond" w:hAnsi="Garamond"/>
        </w:rPr>
      </w:pPr>
      <w:r w:rsidRPr="00A20991">
        <w:rPr>
          <w:rFonts w:ascii="Garamond" w:hAnsi="Garamond"/>
        </w:rPr>
        <w:t xml:space="preserve">The </w:t>
      </w:r>
      <w:r>
        <w:rPr>
          <w:rFonts w:ascii="Garamond" w:hAnsi="Garamond"/>
        </w:rPr>
        <w:t>“</w:t>
      </w:r>
      <w:r w:rsidRPr="00A20991">
        <w:rPr>
          <w:rFonts w:ascii="Garamond" w:hAnsi="Garamond"/>
        </w:rPr>
        <w:t>coin debate</w:t>
      </w:r>
      <w:r>
        <w:rPr>
          <w:rFonts w:ascii="Garamond" w:hAnsi="Garamond"/>
        </w:rPr>
        <w:t>”</w:t>
      </w:r>
      <w:r w:rsidRPr="00A20991">
        <w:rPr>
          <w:rFonts w:ascii="Garamond" w:hAnsi="Garamond"/>
        </w:rPr>
        <w:t xml:space="preserve"> has vexed readers ever since. One noble attempt to answer it was provided by Roger Williams, the 17th-century theologian, who was an early proponent of the separation of church and state. Williams is a fascinating figure in the history of the Church; he tried to argue (against the Puritan concept of Christendom dominant in his day) that Scripture itself supported both freedom of religion and the separation of church and state. Williams suffered for that belief, but always maintained that </w:t>
      </w:r>
      <w:r>
        <w:rPr>
          <w:rFonts w:ascii="Garamond" w:hAnsi="Garamond"/>
        </w:rPr>
        <w:t>“</w:t>
      </w:r>
      <w:r w:rsidRPr="00A20991">
        <w:rPr>
          <w:rFonts w:ascii="Garamond" w:hAnsi="Garamond"/>
        </w:rPr>
        <w:t>God is too large to be housed under one roof.</w:t>
      </w:r>
      <w:r>
        <w:rPr>
          <w:rFonts w:ascii="Garamond" w:hAnsi="Garamond"/>
        </w:rPr>
        <w:t>”</w:t>
      </w:r>
      <w:r w:rsidRPr="00A20991">
        <w:rPr>
          <w:rFonts w:ascii="Garamond" w:hAnsi="Garamond"/>
        </w:rPr>
        <w:t xml:space="preserve"> </w:t>
      </w:r>
    </w:p>
    <w:p w14:paraId="71FD71C2" w14:textId="77777777" w:rsidR="00A20991" w:rsidRPr="00A20991" w:rsidRDefault="00A20991" w:rsidP="00A20991">
      <w:pPr>
        <w:spacing w:line="276" w:lineRule="auto"/>
        <w:rPr>
          <w:rFonts w:ascii="Garamond" w:hAnsi="Garamond"/>
        </w:rPr>
      </w:pPr>
    </w:p>
    <w:p w14:paraId="1BB9FAE1" w14:textId="540760A6" w:rsidR="00A20991" w:rsidRPr="00A20991" w:rsidRDefault="00A20991" w:rsidP="00A20991">
      <w:pPr>
        <w:spacing w:line="276" w:lineRule="auto"/>
        <w:rPr>
          <w:rFonts w:ascii="Garamond" w:hAnsi="Garamond"/>
        </w:rPr>
      </w:pPr>
      <w:r w:rsidRPr="00A20991">
        <w:rPr>
          <w:rFonts w:ascii="Garamond" w:hAnsi="Garamond"/>
        </w:rPr>
        <w:t>Our modern understanding of church-state relations is as flawed and limited as the Pharisees</w:t>
      </w:r>
      <w:r>
        <w:rPr>
          <w:rFonts w:ascii="Garamond" w:hAnsi="Garamond"/>
        </w:rPr>
        <w:t>’</w:t>
      </w:r>
      <w:r w:rsidRPr="00A20991">
        <w:rPr>
          <w:rFonts w:ascii="Garamond" w:hAnsi="Garamond"/>
        </w:rPr>
        <w:t xml:space="preserve"> original. Williams</w:t>
      </w:r>
      <w:r>
        <w:rPr>
          <w:rFonts w:ascii="Garamond" w:hAnsi="Garamond"/>
        </w:rPr>
        <w:t>’</w:t>
      </w:r>
      <w:r w:rsidRPr="00A20991">
        <w:rPr>
          <w:rFonts w:ascii="Garamond" w:hAnsi="Garamond"/>
        </w:rPr>
        <w:t xml:space="preserve"> witness and Jesus</w:t>
      </w:r>
      <w:r>
        <w:rPr>
          <w:rFonts w:ascii="Garamond" w:hAnsi="Garamond"/>
        </w:rPr>
        <w:t>’</w:t>
      </w:r>
      <w:r w:rsidRPr="00A20991">
        <w:rPr>
          <w:rFonts w:ascii="Garamond" w:hAnsi="Garamond"/>
        </w:rPr>
        <w:t xml:space="preserve"> response are, at the very least, a reminder that criticism of the government has itself a long lineage in the Church.</w:t>
      </w:r>
    </w:p>
    <w:p w14:paraId="242720B8" w14:textId="77777777" w:rsidR="00A20991" w:rsidRPr="00A20991" w:rsidRDefault="00A20991" w:rsidP="00A20991">
      <w:pPr>
        <w:spacing w:line="276" w:lineRule="auto"/>
        <w:rPr>
          <w:rFonts w:ascii="Garamond" w:hAnsi="Garamond"/>
        </w:rPr>
      </w:pPr>
    </w:p>
    <w:p w14:paraId="72294878" w14:textId="045F3943" w:rsidR="003A58B6" w:rsidRPr="00A20991" w:rsidRDefault="00A20991" w:rsidP="0045065C">
      <w:pPr>
        <w:pStyle w:val="ListParagraph"/>
        <w:numPr>
          <w:ilvl w:val="0"/>
          <w:numId w:val="2"/>
        </w:numPr>
        <w:spacing w:line="276" w:lineRule="auto"/>
        <w:rPr>
          <w:rFonts w:ascii="Garamond" w:hAnsi="Garamond"/>
        </w:rPr>
      </w:pPr>
      <w:r w:rsidRPr="00A20991">
        <w:rPr>
          <w:rFonts w:ascii="Garamond" w:hAnsi="Garamond"/>
        </w:rPr>
        <w:t>How does one effectively discern when one should cooperate with governmental authority and when one should resist?</w:t>
      </w:r>
    </w:p>
    <w:p w14:paraId="6D6C2EEC" w14:textId="77777777" w:rsidR="00A20991" w:rsidRDefault="00A20991">
      <w:pPr>
        <w:spacing w:line="276" w:lineRule="auto"/>
        <w:rPr>
          <w:rFonts w:ascii="Garamond" w:hAnsi="Garamond"/>
          <w:i/>
          <w:iCs/>
        </w:rPr>
      </w:pPr>
    </w:p>
    <w:p w14:paraId="4387EF29" w14:textId="77777777" w:rsidR="00A20991" w:rsidRDefault="00A20991">
      <w:pPr>
        <w:spacing w:line="276" w:lineRule="auto"/>
        <w:rPr>
          <w:rFonts w:ascii="Garamond" w:hAnsi="Garamond"/>
          <w:i/>
          <w:iCs/>
        </w:rPr>
      </w:pPr>
    </w:p>
    <w:p w14:paraId="52A9B1CB" w14:textId="6A511462" w:rsidR="00A20991" w:rsidRPr="00A20991" w:rsidRDefault="00A20991">
      <w:pPr>
        <w:spacing w:line="276" w:lineRule="auto"/>
        <w:rPr>
          <w:rFonts w:ascii="Garamond" w:hAnsi="Garamond"/>
          <w:i/>
          <w:iCs/>
        </w:rPr>
      </w:pPr>
      <w:r w:rsidRPr="00A20991">
        <w:rPr>
          <w:rFonts w:ascii="Garamond" w:hAnsi="Garamond"/>
          <w:i/>
          <w:iCs/>
        </w:rPr>
        <w:t>This Bible study, written by Charles Cowherd, originally ran in 2017.</w:t>
      </w:r>
    </w:p>
    <w:sectPr w:rsidR="00A20991" w:rsidRPr="00A20991"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33B2E" w14:textId="77777777" w:rsidR="0045065C" w:rsidRDefault="0045065C" w:rsidP="00812385">
      <w:r>
        <w:separator/>
      </w:r>
    </w:p>
  </w:endnote>
  <w:endnote w:type="continuationSeparator" w:id="0">
    <w:p w14:paraId="643E2EEC" w14:textId="77777777" w:rsidR="0045065C" w:rsidRDefault="0045065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E54E7" w14:textId="77777777" w:rsidR="0045065C" w:rsidRDefault="0045065C" w:rsidP="00812385">
      <w:r>
        <w:separator/>
      </w:r>
    </w:p>
  </w:footnote>
  <w:footnote w:type="continuationSeparator" w:id="0">
    <w:p w14:paraId="282EB8EA" w14:textId="77777777" w:rsidR="0045065C" w:rsidRDefault="0045065C" w:rsidP="00812385">
      <w:r>
        <w:continuationSeparator/>
      </w:r>
    </w:p>
  </w:footnote>
  <w:footnote w:id="1">
    <w:p w14:paraId="6ED14CC9" w14:textId="5589ADDE" w:rsidR="00A20991" w:rsidRPr="00A20991" w:rsidRDefault="00A20991" w:rsidP="00A20991">
      <w:pPr>
        <w:spacing w:line="276" w:lineRule="auto"/>
        <w:rPr>
          <w:rFonts w:ascii="Garamond" w:hAnsi="Garamond"/>
          <w:sz w:val="26"/>
          <w:szCs w:val="26"/>
        </w:rPr>
      </w:pPr>
      <w:r>
        <w:rPr>
          <w:rStyle w:val="FootnoteReference"/>
        </w:rPr>
        <w:footnoteRef/>
      </w:r>
      <w:r>
        <w:t xml:space="preserve"> </w:t>
      </w:r>
      <w:r w:rsidRPr="00A20991">
        <w:rPr>
          <w:rFonts w:ascii="Garamond" w:hAnsi="Garamond"/>
          <w:sz w:val="26"/>
          <w:szCs w:val="26"/>
        </w:rPr>
        <w:t>Brueggemann, Walter, &amp; William H. Bellinger (2015). Psalms. New York: Cambridge. 425.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A5946"/>
    <w:multiLevelType w:val="hybridMultilevel"/>
    <w:tmpl w:val="5C0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B4CDE"/>
    <w:multiLevelType w:val="hybridMultilevel"/>
    <w:tmpl w:val="183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77CD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41D45"/>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065C"/>
    <w:rsid w:val="00452230"/>
    <w:rsid w:val="004527D1"/>
    <w:rsid w:val="00454A0E"/>
    <w:rsid w:val="00454D6F"/>
    <w:rsid w:val="00493F33"/>
    <w:rsid w:val="004A0313"/>
    <w:rsid w:val="004A066C"/>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5C1D"/>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10BC"/>
    <w:rsid w:val="009C6E59"/>
    <w:rsid w:val="009D4335"/>
    <w:rsid w:val="009E1E43"/>
    <w:rsid w:val="00A02A6D"/>
    <w:rsid w:val="00A030CD"/>
    <w:rsid w:val="00A10633"/>
    <w:rsid w:val="00A137D0"/>
    <w:rsid w:val="00A13F69"/>
    <w:rsid w:val="00A14926"/>
    <w:rsid w:val="00A16003"/>
    <w:rsid w:val="00A20991"/>
    <w:rsid w:val="00A41350"/>
    <w:rsid w:val="00A42A3E"/>
    <w:rsid w:val="00A455AD"/>
    <w:rsid w:val="00A53445"/>
    <w:rsid w:val="00A5690A"/>
    <w:rsid w:val="00A570D8"/>
    <w:rsid w:val="00A65A57"/>
    <w:rsid w:val="00A77E66"/>
    <w:rsid w:val="00A85F01"/>
    <w:rsid w:val="00A8715E"/>
    <w:rsid w:val="00A95D25"/>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E7EC6"/>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0991604">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418797">
      <w:bodyDiv w:val="1"/>
      <w:marLeft w:val="0"/>
      <w:marRight w:val="0"/>
      <w:marTop w:val="0"/>
      <w:marBottom w:val="0"/>
      <w:divBdr>
        <w:top w:val="none" w:sz="0" w:space="0" w:color="auto"/>
        <w:left w:val="none" w:sz="0" w:space="0" w:color="auto"/>
        <w:bottom w:val="none" w:sz="0" w:space="0" w:color="auto"/>
        <w:right w:val="none" w:sz="0" w:space="0" w:color="auto"/>
      </w:divBdr>
      <w:divsChild>
        <w:div w:id="1297107643">
          <w:marLeft w:val="0"/>
          <w:marRight w:val="0"/>
          <w:marTop w:val="240"/>
          <w:marBottom w:val="240"/>
          <w:divBdr>
            <w:top w:val="none" w:sz="0" w:space="0" w:color="auto"/>
            <w:left w:val="none" w:sz="0" w:space="0" w:color="auto"/>
            <w:bottom w:val="none" w:sz="0" w:space="0" w:color="auto"/>
            <w:right w:val="none" w:sz="0" w:space="0" w:color="auto"/>
          </w:divBdr>
          <w:divsChild>
            <w:div w:id="19939492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8503949">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55619954">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5</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2020-09-02T14:05:00Z</cp:lastPrinted>
  <dcterms:created xsi:type="dcterms:W3CDTF">2020-09-02T15:52:00Z</dcterms:created>
  <dcterms:modified xsi:type="dcterms:W3CDTF">2020-09-02T16:07:00Z</dcterms:modified>
</cp:coreProperties>
</file>