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406BA1" w:rsidRDefault="00331ADD" w:rsidP="009B4F65">
      <w:pPr>
        <w:spacing w:line="276" w:lineRule="auto"/>
        <w:rPr>
          <w:rFonts w:ascii="Garamond" w:hAnsi="Garamond"/>
          <w:sz w:val="26"/>
          <w:szCs w:val="26"/>
          <w:lang w:val="es-ES"/>
        </w:rPr>
      </w:pPr>
      <w:r w:rsidRPr="00406BA1">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406BA1" w:rsidRDefault="00A451C8" w:rsidP="009B4F65">
      <w:pPr>
        <w:widowControl w:val="0"/>
        <w:spacing w:line="276" w:lineRule="auto"/>
        <w:rPr>
          <w:rFonts w:ascii="Garamond" w:hAnsi="Garamond"/>
          <w:b/>
          <w:sz w:val="26"/>
          <w:szCs w:val="26"/>
          <w:lang w:val="es-ES"/>
        </w:rPr>
      </w:pPr>
    </w:p>
    <w:p w14:paraId="4BB2A3B1" w14:textId="210073A8" w:rsidR="009A45BB" w:rsidRPr="00406BA1" w:rsidRDefault="009A45BB" w:rsidP="009B4F65">
      <w:pPr>
        <w:widowControl w:val="0"/>
        <w:rPr>
          <w:rFonts w:ascii="Garamond" w:hAnsi="Garamond"/>
          <w:b/>
          <w:sz w:val="26"/>
          <w:szCs w:val="26"/>
          <w:lang w:val="es-ES"/>
        </w:rPr>
      </w:pPr>
      <w:r w:rsidRPr="00406BA1">
        <w:rPr>
          <w:rFonts w:ascii="Garamond" w:hAnsi="Garamond"/>
          <w:b/>
          <w:sz w:val="26"/>
          <w:szCs w:val="26"/>
          <w:lang w:val="es-ES"/>
        </w:rPr>
        <w:t xml:space="preserve">Pentecostés </w:t>
      </w:r>
      <w:r w:rsidR="00ED3FC7" w:rsidRPr="00406BA1">
        <w:rPr>
          <w:rFonts w:ascii="Garamond" w:hAnsi="Garamond"/>
          <w:b/>
          <w:sz w:val="26"/>
          <w:szCs w:val="26"/>
          <w:lang w:val="es-ES"/>
        </w:rPr>
        <w:t>1</w:t>
      </w:r>
      <w:r w:rsidR="00406BA1" w:rsidRPr="00406BA1">
        <w:rPr>
          <w:rFonts w:ascii="Garamond" w:hAnsi="Garamond"/>
          <w:b/>
          <w:sz w:val="26"/>
          <w:szCs w:val="26"/>
          <w:lang w:val="es-ES"/>
        </w:rPr>
        <w:t>6</w:t>
      </w:r>
    </w:p>
    <w:p w14:paraId="5BEE997F" w14:textId="21FF5C6D" w:rsidR="00846EB4" w:rsidRPr="00406BA1" w:rsidRDefault="009A45BB" w:rsidP="009B4F65">
      <w:pPr>
        <w:widowControl w:val="0"/>
        <w:rPr>
          <w:rFonts w:ascii="Garamond" w:hAnsi="Garamond"/>
          <w:b/>
          <w:sz w:val="26"/>
          <w:szCs w:val="26"/>
          <w:lang w:val="es-ES"/>
        </w:rPr>
      </w:pPr>
      <w:r w:rsidRPr="00406BA1">
        <w:rPr>
          <w:rFonts w:ascii="Garamond" w:hAnsi="Garamond"/>
          <w:b/>
          <w:sz w:val="26"/>
          <w:szCs w:val="26"/>
          <w:lang w:val="es-ES"/>
        </w:rPr>
        <w:t xml:space="preserve">Propio </w:t>
      </w:r>
      <w:r w:rsidR="002F41CF" w:rsidRPr="00406BA1">
        <w:rPr>
          <w:rFonts w:ascii="Garamond" w:hAnsi="Garamond"/>
          <w:b/>
          <w:sz w:val="26"/>
          <w:szCs w:val="26"/>
          <w:lang w:val="es-ES"/>
        </w:rPr>
        <w:t>1</w:t>
      </w:r>
      <w:r w:rsidR="00406BA1" w:rsidRPr="00406BA1">
        <w:rPr>
          <w:rFonts w:ascii="Garamond" w:hAnsi="Garamond"/>
          <w:b/>
          <w:sz w:val="26"/>
          <w:szCs w:val="26"/>
          <w:lang w:val="es-ES"/>
        </w:rPr>
        <w:t>9</w:t>
      </w:r>
      <w:r w:rsidRPr="00406BA1">
        <w:rPr>
          <w:rFonts w:ascii="Garamond" w:hAnsi="Garamond"/>
          <w:b/>
          <w:sz w:val="26"/>
          <w:szCs w:val="26"/>
          <w:lang w:val="es-ES"/>
        </w:rPr>
        <w:t xml:space="preserve"> (B)</w:t>
      </w:r>
    </w:p>
    <w:p w14:paraId="453DFB88" w14:textId="77777777" w:rsidR="00B2023D" w:rsidRPr="00406BA1" w:rsidRDefault="00B2023D" w:rsidP="009B4F65">
      <w:pPr>
        <w:rPr>
          <w:rFonts w:ascii="Garamond" w:hAnsi="Garamond"/>
          <w:b/>
          <w:bCs/>
          <w:sz w:val="26"/>
          <w:szCs w:val="26"/>
          <w:lang w:val="es-ES"/>
        </w:rPr>
      </w:pPr>
    </w:p>
    <w:p w14:paraId="059A31B3" w14:textId="77777777" w:rsidR="00406BA1" w:rsidRPr="00406BA1" w:rsidRDefault="00CB07C4" w:rsidP="00406BA1">
      <w:pPr>
        <w:rPr>
          <w:rFonts w:ascii="Garamond" w:hAnsi="Garamond" w:cs="Times New Roman"/>
          <w:b/>
          <w:bCs/>
          <w:sz w:val="26"/>
          <w:szCs w:val="26"/>
          <w:lang w:val="es-CO"/>
        </w:rPr>
      </w:pPr>
      <w:r w:rsidRPr="00406BA1">
        <w:rPr>
          <w:rFonts w:ascii="Garamond" w:hAnsi="Garamond"/>
          <w:b/>
          <w:bCs/>
          <w:sz w:val="26"/>
          <w:szCs w:val="26"/>
          <w:lang w:val="es-ES"/>
        </w:rPr>
        <w:t>LCR</w:t>
      </w:r>
      <w:r w:rsidR="00A24F45" w:rsidRPr="00406BA1">
        <w:rPr>
          <w:rFonts w:ascii="Garamond" w:hAnsi="Garamond"/>
          <w:b/>
          <w:bCs/>
          <w:sz w:val="26"/>
          <w:szCs w:val="26"/>
          <w:lang w:val="es-ES"/>
        </w:rPr>
        <w:t xml:space="preserve">: </w:t>
      </w:r>
      <w:r w:rsidR="00406BA1" w:rsidRPr="00406BA1">
        <w:rPr>
          <w:rFonts w:ascii="Garamond" w:hAnsi="Garamond" w:cs="Times New Roman"/>
          <w:b/>
          <w:bCs/>
          <w:sz w:val="26"/>
          <w:szCs w:val="26"/>
          <w:lang w:val="es-CO"/>
        </w:rPr>
        <w:t>Isaías 50:4–9a; Salmo 116:1–9 (= 116:1–8 LOC); Santiago 3:1–12; San Marcos 8:27–38</w:t>
      </w:r>
    </w:p>
    <w:p w14:paraId="0771656A" w14:textId="77777777" w:rsidR="00406BA1" w:rsidRPr="00406BA1" w:rsidRDefault="00406BA1" w:rsidP="00406BA1">
      <w:pPr>
        <w:jc w:val="center"/>
        <w:rPr>
          <w:rFonts w:ascii="Garamond" w:hAnsi="Garamond" w:cs="Times New Roman"/>
          <w:b/>
          <w:bCs/>
          <w:sz w:val="26"/>
          <w:szCs w:val="26"/>
          <w:lang w:val="es-CO"/>
        </w:rPr>
      </w:pPr>
    </w:p>
    <w:p w14:paraId="244C4EA1" w14:textId="77777777" w:rsidR="00406BA1" w:rsidRPr="00406BA1" w:rsidRDefault="00406BA1" w:rsidP="00406BA1">
      <w:pPr>
        <w:jc w:val="center"/>
        <w:rPr>
          <w:rFonts w:ascii="Garamond" w:hAnsi="Garamond" w:cs="Times New Roman"/>
          <w:b/>
          <w:bCs/>
          <w:sz w:val="26"/>
          <w:szCs w:val="26"/>
          <w:lang w:val="es-CO"/>
        </w:rPr>
      </w:pPr>
      <w:r w:rsidRPr="00406BA1">
        <w:rPr>
          <w:rFonts w:ascii="Garamond" w:hAnsi="Garamond" w:cs="Times New Roman"/>
          <w:b/>
          <w:bCs/>
          <w:sz w:val="26"/>
          <w:szCs w:val="26"/>
          <w:lang w:val="es-CO"/>
        </w:rPr>
        <w:t>El discernimiento es Fuente para las buenas decisiones</w:t>
      </w:r>
    </w:p>
    <w:p w14:paraId="1E713608" w14:textId="77777777" w:rsidR="00406BA1" w:rsidRPr="00406BA1" w:rsidRDefault="00406BA1" w:rsidP="00406BA1">
      <w:pPr>
        <w:rPr>
          <w:rFonts w:ascii="Garamond" w:hAnsi="Garamond" w:cs="Times New Roman"/>
          <w:sz w:val="26"/>
          <w:szCs w:val="26"/>
          <w:lang w:val="es-CO"/>
        </w:rPr>
      </w:pPr>
    </w:p>
    <w:p w14:paraId="78328594" w14:textId="77777777" w:rsidR="00406BA1" w:rsidRPr="00406BA1" w:rsidRDefault="00406BA1" w:rsidP="00406BA1">
      <w:pPr>
        <w:jc w:val="right"/>
        <w:rPr>
          <w:rFonts w:ascii="Garamond" w:hAnsi="Garamond" w:cs="Times New Roman"/>
          <w:i/>
          <w:iCs/>
          <w:sz w:val="26"/>
          <w:szCs w:val="26"/>
          <w:lang w:val="es-CO"/>
        </w:rPr>
      </w:pPr>
      <w:r w:rsidRPr="00406BA1">
        <w:rPr>
          <w:rFonts w:ascii="Garamond" w:hAnsi="Garamond" w:cs="Times New Roman"/>
          <w:i/>
          <w:iCs/>
          <w:sz w:val="26"/>
          <w:szCs w:val="26"/>
          <w:lang w:val="es-CO"/>
        </w:rPr>
        <w:t xml:space="preserve">Instrúyenos, oh, Señor, </w:t>
      </w:r>
    </w:p>
    <w:p w14:paraId="453B7334" w14:textId="77777777" w:rsidR="00406BA1" w:rsidRPr="00406BA1" w:rsidRDefault="00406BA1" w:rsidP="00406BA1">
      <w:pPr>
        <w:jc w:val="right"/>
        <w:rPr>
          <w:rFonts w:ascii="Garamond" w:hAnsi="Garamond" w:cs="Times New Roman"/>
          <w:i/>
          <w:iCs/>
          <w:sz w:val="26"/>
          <w:szCs w:val="26"/>
          <w:lang w:val="es-CO"/>
        </w:rPr>
      </w:pPr>
      <w:r w:rsidRPr="00406BA1">
        <w:rPr>
          <w:rFonts w:ascii="Garamond" w:hAnsi="Garamond" w:cs="Times New Roman"/>
          <w:i/>
          <w:iCs/>
          <w:sz w:val="26"/>
          <w:szCs w:val="26"/>
          <w:lang w:val="es-CO"/>
        </w:rPr>
        <w:t xml:space="preserve">y danos el entendimiento </w:t>
      </w:r>
    </w:p>
    <w:p w14:paraId="14BF7639" w14:textId="77777777" w:rsidR="00406BA1" w:rsidRPr="00406BA1" w:rsidRDefault="00406BA1" w:rsidP="00406BA1">
      <w:pPr>
        <w:jc w:val="right"/>
        <w:rPr>
          <w:rFonts w:ascii="Garamond" w:hAnsi="Garamond" w:cs="Times New Roman"/>
          <w:i/>
          <w:iCs/>
          <w:sz w:val="26"/>
          <w:szCs w:val="26"/>
          <w:lang w:val="es-CO"/>
        </w:rPr>
      </w:pPr>
      <w:r w:rsidRPr="00406BA1">
        <w:rPr>
          <w:rFonts w:ascii="Garamond" w:hAnsi="Garamond" w:cs="Times New Roman"/>
          <w:i/>
          <w:iCs/>
          <w:sz w:val="26"/>
          <w:szCs w:val="26"/>
          <w:lang w:val="es-CO"/>
        </w:rPr>
        <w:t xml:space="preserve">para responder generosamente </w:t>
      </w:r>
    </w:p>
    <w:p w14:paraId="10272481" w14:textId="77777777" w:rsidR="00406BA1" w:rsidRPr="00406BA1" w:rsidRDefault="00406BA1" w:rsidP="00406BA1">
      <w:pPr>
        <w:jc w:val="right"/>
        <w:rPr>
          <w:rFonts w:ascii="Garamond" w:hAnsi="Garamond" w:cs="Times New Roman"/>
          <w:i/>
          <w:iCs/>
          <w:sz w:val="26"/>
          <w:szCs w:val="26"/>
          <w:lang w:val="es-CO"/>
        </w:rPr>
      </w:pPr>
      <w:r w:rsidRPr="00406BA1">
        <w:rPr>
          <w:rFonts w:ascii="Garamond" w:hAnsi="Garamond" w:cs="Times New Roman"/>
          <w:i/>
          <w:iCs/>
          <w:sz w:val="26"/>
          <w:szCs w:val="26"/>
          <w:lang w:val="es-CO"/>
        </w:rPr>
        <w:t>a los desafíos de este tiempo.</w:t>
      </w:r>
    </w:p>
    <w:p w14:paraId="48B01A64" w14:textId="77777777" w:rsidR="00406BA1" w:rsidRPr="00406BA1" w:rsidRDefault="00406BA1" w:rsidP="00406BA1">
      <w:pPr>
        <w:jc w:val="right"/>
        <w:rPr>
          <w:rFonts w:ascii="Garamond" w:hAnsi="Garamond" w:cs="Times New Roman"/>
          <w:i/>
          <w:iCs/>
          <w:sz w:val="26"/>
          <w:szCs w:val="26"/>
          <w:lang w:val="es-CO"/>
        </w:rPr>
      </w:pPr>
      <w:r w:rsidRPr="00406BA1">
        <w:rPr>
          <w:rFonts w:ascii="Garamond" w:hAnsi="Garamond" w:cs="Times New Roman"/>
          <w:i/>
          <w:iCs/>
          <w:sz w:val="26"/>
          <w:szCs w:val="26"/>
          <w:lang w:val="es-CO"/>
        </w:rPr>
        <w:t xml:space="preserve">En el nombre del padre, y del Hijo, y del Espíritu Santo. </w:t>
      </w:r>
    </w:p>
    <w:p w14:paraId="26F14AA4" w14:textId="77777777" w:rsidR="00406BA1" w:rsidRPr="00406BA1" w:rsidRDefault="00406BA1" w:rsidP="00406BA1">
      <w:pPr>
        <w:jc w:val="right"/>
        <w:rPr>
          <w:rFonts w:ascii="Garamond" w:hAnsi="Garamond" w:cs="Times New Roman"/>
          <w:sz w:val="26"/>
          <w:szCs w:val="26"/>
          <w:lang w:val="es-CO"/>
        </w:rPr>
      </w:pPr>
      <w:r w:rsidRPr="00406BA1">
        <w:rPr>
          <w:rFonts w:ascii="Garamond" w:hAnsi="Garamond" w:cs="Times New Roman"/>
          <w:i/>
          <w:iCs/>
          <w:sz w:val="26"/>
          <w:szCs w:val="26"/>
          <w:lang w:val="es-CO"/>
        </w:rPr>
        <w:t>Amén.</w:t>
      </w:r>
    </w:p>
    <w:p w14:paraId="11C94707" w14:textId="77777777" w:rsidR="00406BA1" w:rsidRPr="00406BA1" w:rsidRDefault="00406BA1" w:rsidP="00406BA1">
      <w:pPr>
        <w:rPr>
          <w:rFonts w:ascii="Garamond" w:hAnsi="Garamond" w:cs="Times New Roman"/>
          <w:sz w:val="26"/>
          <w:szCs w:val="26"/>
          <w:lang w:val="es-CO"/>
        </w:rPr>
      </w:pPr>
    </w:p>
    <w:p w14:paraId="71B69C06"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En la primera lectura, tomada del libro de Isaías, el profeta da a conocer que Dios le ha instruido, que le ha dado entendimiento, y que él, Isaías, no se ha resistido. En el contexto bíblico, el entendimiento está íntimamente asociado con la sabiduría. La sabiduría es materia prima para el buen discernimiento. El buen discernimiento nos guía a las buenas decisiones y nos ayuda a distinguir el bien del mal. </w:t>
      </w:r>
    </w:p>
    <w:p w14:paraId="058C9323" w14:textId="77777777" w:rsidR="00406BA1" w:rsidRPr="00406BA1" w:rsidRDefault="00406BA1" w:rsidP="00406BA1">
      <w:pPr>
        <w:spacing w:line="276" w:lineRule="auto"/>
        <w:rPr>
          <w:rFonts w:ascii="Garamond" w:hAnsi="Garamond" w:cs="Times New Roman"/>
          <w:sz w:val="26"/>
          <w:szCs w:val="26"/>
          <w:lang w:val="es-CO"/>
        </w:rPr>
      </w:pPr>
    </w:p>
    <w:p w14:paraId="7CF54A0D"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Entendimiento y sabiduría para dirigir a su pueblo. Ésta es la única petición que hace el rey Salomón a Dios cuando en sueños le dijo: “pídeme lo que quieras y yo te lo daré.” La respuesta de Salomón entusiasma tanto a Dios, que no sólo le concede ese deseo, sino que le promete prosperidad, honor y una larga vida, cosas que Salomón no pidió. El problema de Salomón es que, aun habiendo recibido el don del buen discernir, no lo usa bien; sus acciones tiránicas y malos juicios, debido, en gran proporción, a los malos consejeros, se convirtieron en la causa principal de la división del reino de Israel que ocurre poco después de su muerte, cuando diez de las doce tribus que conformaban el reino se levantaron contra su hijo. Eso deja como resultado el surgimiento de dos reinos separados, Israel y Judá; Ambos reinos eventualmente sucumbieron ante el embiste de las fuerzas asirias y las babilónicas, respectivamente.</w:t>
      </w:r>
    </w:p>
    <w:p w14:paraId="6926D898" w14:textId="77777777" w:rsidR="00406BA1" w:rsidRPr="00406BA1" w:rsidRDefault="00406BA1" w:rsidP="00406BA1">
      <w:pPr>
        <w:spacing w:line="276" w:lineRule="auto"/>
        <w:rPr>
          <w:rFonts w:ascii="Garamond" w:hAnsi="Garamond" w:cs="Times New Roman"/>
          <w:sz w:val="26"/>
          <w:szCs w:val="26"/>
          <w:lang w:val="es-CO"/>
        </w:rPr>
      </w:pPr>
    </w:p>
    <w:p w14:paraId="12503370"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Vivimos en tiempos complejos, en un mundo complejo. Cada vez se nos hace más difícil tomar las decisiones correctas, en parte, por la inmensa cantidad de información que recibimos, o porque cada vez tenemos menos tiempo para procesar y discernir con cuidado las cosas importantes sobres las que tenemos que decidir. Las malas decisiones están a la orden del día; las toman, desde personas de alta investidura como presidentes, hasta los miembros de las familias más humildes. Cada decisión mal tomada tiene el potencial de provocar daños terribles e irreversibles. </w:t>
      </w:r>
    </w:p>
    <w:p w14:paraId="29D1F89A" w14:textId="77777777" w:rsidR="00406BA1" w:rsidRPr="00406BA1" w:rsidRDefault="00406BA1" w:rsidP="00406BA1">
      <w:pPr>
        <w:spacing w:line="276" w:lineRule="auto"/>
        <w:rPr>
          <w:rFonts w:ascii="Garamond" w:hAnsi="Garamond" w:cs="Times New Roman"/>
          <w:sz w:val="26"/>
          <w:szCs w:val="26"/>
          <w:lang w:val="es-CO"/>
        </w:rPr>
      </w:pPr>
    </w:p>
    <w:p w14:paraId="773AE629"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Ése es el caso de lo sucedido con los israelitas después de la muerte del rey Salomón: nunca pudieron restablecer la unidad, ni recobrar la gloria que una vez tuvieron. Es que las malas decisiones y el mal actuar pesan y afectan, no solamente a las personas que se las toman, sino a las generaciones que vienen después. Miremos algunos ejemplos. </w:t>
      </w:r>
    </w:p>
    <w:p w14:paraId="299CB845" w14:textId="77777777" w:rsidR="00406BA1" w:rsidRPr="00406BA1" w:rsidRDefault="00406BA1" w:rsidP="00406BA1">
      <w:pPr>
        <w:spacing w:line="276" w:lineRule="auto"/>
        <w:rPr>
          <w:rFonts w:ascii="Garamond" w:hAnsi="Garamond" w:cs="Times New Roman"/>
          <w:sz w:val="26"/>
          <w:szCs w:val="26"/>
          <w:lang w:val="es-CO"/>
        </w:rPr>
      </w:pPr>
    </w:p>
    <w:p w14:paraId="7C55EED4"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La hermana nación caribeña de Haití, en su profundo estado de pobreza e inestabilidad social en las que los malos juicios de su clase </w:t>
      </w:r>
      <w:proofErr w:type="spellStart"/>
      <w:r w:rsidRPr="00406BA1">
        <w:rPr>
          <w:rFonts w:ascii="Garamond" w:hAnsi="Garamond" w:cs="Times New Roman"/>
          <w:sz w:val="26"/>
          <w:szCs w:val="26"/>
          <w:lang w:val="es-CO"/>
        </w:rPr>
        <w:t>dirigencial</w:t>
      </w:r>
      <w:proofErr w:type="spellEnd"/>
      <w:r w:rsidRPr="00406BA1">
        <w:rPr>
          <w:rFonts w:ascii="Garamond" w:hAnsi="Garamond" w:cs="Times New Roman"/>
          <w:sz w:val="26"/>
          <w:szCs w:val="26"/>
          <w:lang w:val="es-CO"/>
        </w:rPr>
        <w:t xml:space="preserve"> les ha hundido; precisamente la primera nación negra en liberarse de la esclavitud en todo el mundo. ¡Cómo es posible que después de recibir trece billones de dólares para su recuperación tras los daños sufridos por el terremoto de 2010, otro terremoto azote la media isla, once años después, y encuentre las infraestructuras afectadas -por el primer fenómeno sísmico- en situación deplorable! Y todo esto en momentos en que la nación haitiana trata de recuperarse del caos provocado por el reciente asesinato de su presidente.</w:t>
      </w:r>
    </w:p>
    <w:p w14:paraId="07B82AF6" w14:textId="77777777" w:rsidR="00406BA1" w:rsidRPr="00406BA1" w:rsidRDefault="00406BA1" w:rsidP="00406BA1">
      <w:pPr>
        <w:spacing w:line="276" w:lineRule="auto"/>
        <w:rPr>
          <w:rFonts w:ascii="Garamond" w:hAnsi="Garamond" w:cs="Times New Roman"/>
          <w:sz w:val="26"/>
          <w:szCs w:val="26"/>
          <w:lang w:val="es-CO"/>
        </w:rPr>
      </w:pPr>
    </w:p>
    <w:p w14:paraId="3F54E13B"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O el caso de Venezuela y su caída estrepitosa. La forma en que las malas decisiones de sus líderes políticos la han llevado a una pobreza extrema y han provocado el mayor éxodo de venezolanos en toda su historia, separando familias y desestabilizando a millones. </w:t>
      </w:r>
    </w:p>
    <w:p w14:paraId="36516150" w14:textId="77777777" w:rsidR="00406BA1" w:rsidRPr="00406BA1" w:rsidRDefault="00406BA1" w:rsidP="00406BA1">
      <w:pPr>
        <w:spacing w:line="276" w:lineRule="auto"/>
        <w:rPr>
          <w:rFonts w:ascii="Garamond" w:hAnsi="Garamond" w:cs="Times New Roman"/>
          <w:sz w:val="26"/>
          <w:szCs w:val="26"/>
          <w:lang w:val="es-CO"/>
        </w:rPr>
      </w:pPr>
    </w:p>
    <w:p w14:paraId="6B0EFB79"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O Estados Unidos, la nación más poderosa del mundo, a la cual la diseminación de mala información, la politización de la pandemia y las malas decisiones de sus líderes políticos le han puesto de rodillas ante el Coronavirus.</w:t>
      </w:r>
    </w:p>
    <w:p w14:paraId="38D240C0" w14:textId="77777777" w:rsidR="00406BA1" w:rsidRPr="00406BA1" w:rsidRDefault="00406BA1" w:rsidP="00406BA1">
      <w:pPr>
        <w:spacing w:line="276" w:lineRule="auto"/>
        <w:rPr>
          <w:rFonts w:ascii="Garamond" w:hAnsi="Garamond" w:cs="Times New Roman"/>
          <w:sz w:val="26"/>
          <w:szCs w:val="26"/>
          <w:lang w:val="es-CO"/>
        </w:rPr>
      </w:pPr>
    </w:p>
    <w:p w14:paraId="750ADFE3"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En cada uno de estos casos, las ramificaciones negativas no son, para nada, de corto plazo. Se necesitarán muchos años para resarcir los daños. Lo mismo puede ocurrir con las decisiones personales o familiares que tomamos; si no las discernimos bien nos pueden perseguir como fantasmas por años sin término. </w:t>
      </w:r>
    </w:p>
    <w:p w14:paraId="3D3BF503" w14:textId="77777777" w:rsidR="00406BA1" w:rsidRPr="00406BA1" w:rsidRDefault="00406BA1" w:rsidP="00406BA1">
      <w:pPr>
        <w:spacing w:line="276" w:lineRule="auto"/>
        <w:rPr>
          <w:rFonts w:ascii="Garamond" w:hAnsi="Garamond" w:cs="Times New Roman"/>
          <w:sz w:val="26"/>
          <w:szCs w:val="26"/>
          <w:lang w:val="es-CO"/>
        </w:rPr>
      </w:pPr>
    </w:p>
    <w:p w14:paraId="40333D25"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Lo anterior puede representar, para algunos, un panorama oscuro, algo tétrico, una especie de mal presagio. Pero hay una buena noticia que encontramos en las palabras de Isaías y en el evangelio de Marcos que hemos escuchado en el día de hoy; son una especie de claves, y necesitamos entenderlas para descubrir la guía que nos ofrecen y así aprender a decidir con juicio y discernir bien.</w:t>
      </w:r>
    </w:p>
    <w:p w14:paraId="08BD921B" w14:textId="77777777" w:rsidR="00406BA1" w:rsidRPr="00406BA1" w:rsidRDefault="00406BA1" w:rsidP="00406BA1">
      <w:pPr>
        <w:spacing w:line="276" w:lineRule="auto"/>
        <w:rPr>
          <w:rFonts w:ascii="Garamond" w:hAnsi="Garamond" w:cs="Times New Roman"/>
          <w:sz w:val="26"/>
          <w:szCs w:val="26"/>
          <w:lang w:val="es-CO"/>
        </w:rPr>
      </w:pPr>
    </w:p>
    <w:p w14:paraId="6B9ACB3B"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La primera clave la encontramos en Isaías, cuando dice: “El Señor me ha instruido […] me ha dado entendimiento”. El hablar del profeta, en estas dos frases, no es fruto de la especulación sino de la experiencia; Isaías dice lo que experimenta, sabe que Dios guía sus pensamientos y lo sabe porque no se resiste, se deja adentrar por Dios en el campo de lo místico; ese lugar donde se aísla el mundo y la materia, y se queda uno con Dios en la atmósfera de lo espiritual. En ese estadio, conoce Isaías el pensamiento de Dios y entiende sus decretos. Esa acción de estar y escuchar, guía la voz del profeta, mueve sus labios al hablar y conduce sus pasos. Así, cuando Isaías habla al pueblo de Dios, en su nombre, el pueblo escucha, cree y se mueve. Hablar con palabras sabias es lo que da autoridad a la voz del profeta, y esa autoridad le viene de Dios, a quien el profeta escucha. </w:t>
      </w:r>
    </w:p>
    <w:p w14:paraId="2C7383D5" w14:textId="77777777" w:rsidR="00406BA1" w:rsidRPr="00406BA1" w:rsidRDefault="00406BA1" w:rsidP="00406BA1">
      <w:pPr>
        <w:spacing w:line="276" w:lineRule="auto"/>
        <w:rPr>
          <w:rFonts w:ascii="Garamond" w:hAnsi="Garamond" w:cs="Times New Roman"/>
          <w:sz w:val="26"/>
          <w:szCs w:val="26"/>
          <w:lang w:val="es-CO"/>
        </w:rPr>
      </w:pPr>
    </w:p>
    <w:p w14:paraId="66953D58"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lastRenderedPageBreak/>
        <w:t>Como cristianos, nosotros necesitamos aprender a escuchar a Dios, a entrar en esa atmósfera espiritual que deleita, que ensancha los horizontes de nuestro entendimiento y discernimiento. Cuando escuchamos a Dios somos menos propensos a prestar atención a las voces que distraen, confunden y empujan a los malos juicios y decisiones que, no solo nos perjudican a nosotros, sino que hacen daño a quienes nos rodean. Imaginemos la cantidad de vidas que hubiésemos podido salvar si, desde el inicio de esta pandemia, prestamos atención a las voces científicas autorizadas que nos hablaban del cómo protegernos y proteger a otros.</w:t>
      </w:r>
    </w:p>
    <w:p w14:paraId="065F574D" w14:textId="77777777" w:rsidR="00406BA1" w:rsidRPr="00406BA1" w:rsidRDefault="00406BA1" w:rsidP="00406BA1">
      <w:pPr>
        <w:spacing w:line="276" w:lineRule="auto"/>
        <w:rPr>
          <w:rFonts w:ascii="Garamond" w:hAnsi="Garamond" w:cs="Times New Roman"/>
          <w:sz w:val="26"/>
          <w:szCs w:val="26"/>
          <w:lang w:val="es-CO"/>
        </w:rPr>
      </w:pPr>
    </w:p>
    <w:p w14:paraId="12A4E1E4"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 xml:space="preserve">La segunda clave la encontramos en el evangelio de Marcos. Jesús hace a sus discípulos una pregunta que es fundamental para el seguimiento: “Y ustedes, ¿quién dicen que soy?”; a lo que Pedro responde: “Tú eres el Mesías.” Conocer bien a quien seguimos es esencial para ser una buena discípula o un buen discípulo. La respuesta de Pedro refleja conocimiento de que en Jesús hay verdad y que en ella se fundamenta el ministerio de Jesús, lo que hace de Pedro un seguidor de la verdad, un discípulo que en cada situación se pregunta qué hubiese dicho o hecho el Maestro. </w:t>
      </w:r>
    </w:p>
    <w:p w14:paraId="5A7AB527" w14:textId="77777777" w:rsidR="00406BA1" w:rsidRPr="00406BA1" w:rsidRDefault="00406BA1" w:rsidP="00406BA1">
      <w:pPr>
        <w:spacing w:line="276" w:lineRule="auto"/>
        <w:rPr>
          <w:rFonts w:ascii="Garamond" w:hAnsi="Garamond" w:cs="Times New Roman"/>
          <w:sz w:val="26"/>
          <w:szCs w:val="26"/>
          <w:lang w:val="es-CO"/>
        </w:rPr>
      </w:pPr>
    </w:p>
    <w:p w14:paraId="30848464"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Como seguidores de Jesús, nosotros nos debemos al Maestro; por tanto, a él debemos acudir en tiempo de discernimiento, para buscar la verdad y no lo que nos conviene o acomoda, o lo que alimenta el ego de aquellos que, con sus opiniones, nos confunden. Solamente así nos ponemos en la posición de discernir entre lo que es especulación y lo que es verdadero. A Jesús podemos ir con la pregunta que nos puede conducir a la verdad. En diálogo con Jesús, nuestro verdadero maestro, somos instruidos; en él encontramos el entendimiento que nos guía para discernir.</w:t>
      </w:r>
    </w:p>
    <w:p w14:paraId="66D7C765" w14:textId="77777777" w:rsidR="00406BA1" w:rsidRPr="00406BA1" w:rsidRDefault="00406BA1" w:rsidP="00406BA1">
      <w:pPr>
        <w:spacing w:line="276" w:lineRule="auto"/>
        <w:rPr>
          <w:rFonts w:ascii="Garamond" w:hAnsi="Garamond" w:cs="Times New Roman"/>
          <w:sz w:val="26"/>
          <w:szCs w:val="26"/>
          <w:lang w:val="es-CO"/>
        </w:rPr>
      </w:pPr>
    </w:p>
    <w:p w14:paraId="7F094A13" w14:textId="77777777" w:rsidR="00406BA1" w:rsidRPr="00406BA1" w:rsidRDefault="00406BA1" w:rsidP="00406BA1">
      <w:pPr>
        <w:spacing w:line="276" w:lineRule="auto"/>
        <w:rPr>
          <w:rFonts w:ascii="Garamond" w:hAnsi="Garamond" w:cs="Times New Roman"/>
          <w:sz w:val="26"/>
          <w:szCs w:val="26"/>
          <w:lang w:val="es-CO"/>
        </w:rPr>
      </w:pPr>
      <w:r w:rsidRPr="00406BA1">
        <w:rPr>
          <w:rFonts w:ascii="Garamond" w:hAnsi="Garamond" w:cs="Times New Roman"/>
          <w:sz w:val="26"/>
          <w:szCs w:val="26"/>
          <w:lang w:val="es-CO"/>
        </w:rPr>
        <w:t>El mundo necesita de nosotros, somos el cuerpo de Cristo. Para poder servirle y ayudarle necesitamos escuchar y dejarnos instruir por Dios. Hoy es el mejor tiempo y es la mejor hora. Empecemos ya, porque luego será muy tarde.</w:t>
      </w:r>
    </w:p>
    <w:p w14:paraId="226BB9AF" w14:textId="77777777" w:rsidR="00406BA1" w:rsidRPr="00406BA1" w:rsidRDefault="00406BA1" w:rsidP="00406BA1">
      <w:pPr>
        <w:spacing w:line="276" w:lineRule="auto"/>
        <w:rPr>
          <w:rFonts w:ascii="Garamond" w:hAnsi="Garamond" w:cs="Times New Roman"/>
          <w:i/>
          <w:iCs/>
          <w:sz w:val="26"/>
          <w:szCs w:val="26"/>
          <w:lang w:val="es-CO"/>
        </w:rPr>
      </w:pPr>
    </w:p>
    <w:p w14:paraId="39DA0615" w14:textId="77777777" w:rsidR="00406BA1" w:rsidRDefault="00406BA1" w:rsidP="00406BA1">
      <w:pPr>
        <w:spacing w:line="276" w:lineRule="auto"/>
        <w:rPr>
          <w:rFonts w:ascii="Garamond" w:hAnsi="Garamond" w:cs="Times New Roman"/>
          <w:b/>
          <w:bCs/>
          <w:i/>
          <w:iCs/>
          <w:sz w:val="26"/>
          <w:szCs w:val="26"/>
          <w:lang w:val="es-CO"/>
        </w:rPr>
      </w:pPr>
    </w:p>
    <w:p w14:paraId="2E1172FF" w14:textId="77777777" w:rsidR="00406BA1" w:rsidRDefault="00406BA1" w:rsidP="00406BA1">
      <w:pPr>
        <w:spacing w:line="276" w:lineRule="auto"/>
        <w:rPr>
          <w:rFonts w:ascii="Garamond" w:hAnsi="Garamond" w:cs="Times New Roman"/>
          <w:b/>
          <w:bCs/>
          <w:i/>
          <w:iCs/>
          <w:sz w:val="26"/>
          <w:szCs w:val="26"/>
          <w:lang w:val="es-CO"/>
        </w:rPr>
      </w:pPr>
    </w:p>
    <w:p w14:paraId="2BD16D07" w14:textId="77777777" w:rsidR="00406BA1" w:rsidRDefault="00406BA1" w:rsidP="00406BA1">
      <w:pPr>
        <w:spacing w:line="276" w:lineRule="auto"/>
        <w:rPr>
          <w:rFonts w:ascii="Garamond" w:hAnsi="Garamond" w:cs="Times New Roman"/>
          <w:b/>
          <w:bCs/>
          <w:i/>
          <w:iCs/>
          <w:sz w:val="26"/>
          <w:szCs w:val="26"/>
          <w:lang w:val="es-CO"/>
        </w:rPr>
      </w:pPr>
    </w:p>
    <w:p w14:paraId="56592E1A" w14:textId="77777777" w:rsidR="00406BA1" w:rsidRDefault="00406BA1" w:rsidP="00406BA1">
      <w:pPr>
        <w:spacing w:line="276" w:lineRule="auto"/>
        <w:rPr>
          <w:rFonts w:ascii="Garamond" w:hAnsi="Garamond" w:cs="Times New Roman"/>
          <w:b/>
          <w:bCs/>
          <w:i/>
          <w:iCs/>
          <w:sz w:val="26"/>
          <w:szCs w:val="26"/>
          <w:lang w:val="es-CO"/>
        </w:rPr>
      </w:pPr>
    </w:p>
    <w:p w14:paraId="6262791A" w14:textId="77777777" w:rsidR="00406BA1" w:rsidRDefault="00406BA1" w:rsidP="00406BA1">
      <w:pPr>
        <w:spacing w:line="276" w:lineRule="auto"/>
        <w:rPr>
          <w:rFonts w:ascii="Garamond" w:hAnsi="Garamond" w:cs="Times New Roman"/>
          <w:b/>
          <w:bCs/>
          <w:i/>
          <w:iCs/>
          <w:sz w:val="26"/>
          <w:szCs w:val="26"/>
          <w:lang w:val="es-CO"/>
        </w:rPr>
      </w:pPr>
    </w:p>
    <w:p w14:paraId="29ADFDD8" w14:textId="77777777" w:rsidR="00406BA1" w:rsidRDefault="00406BA1" w:rsidP="00406BA1">
      <w:pPr>
        <w:spacing w:line="276" w:lineRule="auto"/>
        <w:rPr>
          <w:rFonts w:ascii="Garamond" w:hAnsi="Garamond" w:cs="Times New Roman"/>
          <w:b/>
          <w:bCs/>
          <w:i/>
          <w:iCs/>
          <w:sz w:val="26"/>
          <w:szCs w:val="26"/>
          <w:lang w:val="es-CO"/>
        </w:rPr>
      </w:pPr>
    </w:p>
    <w:p w14:paraId="1E384808" w14:textId="77777777" w:rsidR="00406BA1" w:rsidRDefault="00406BA1" w:rsidP="00406BA1">
      <w:pPr>
        <w:spacing w:line="276" w:lineRule="auto"/>
        <w:rPr>
          <w:rFonts w:ascii="Garamond" w:hAnsi="Garamond" w:cs="Times New Roman"/>
          <w:b/>
          <w:bCs/>
          <w:i/>
          <w:iCs/>
          <w:sz w:val="26"/>
          <w:szCs w:val="26"/>
          <w:lang w:val="es-CO"/>
        </w:rPr>
      </w:pPr>
    </w:p>
    <w:p w14:paraId="031CA3CE" w14:textId="77777777" w:rsidR="00406BA1" w:rsidRDefault="00406BA1" w:rsidP="00406BA1">
      <w:pPr>
        <w:spacing w:line="276" w:lineRule="auto"/>
        <w:rPr>
          <w:rFonts w:ascii="Garamond" w:hAnsi="Garamond" w:cs="Times New Roman"/>
          <w:b/>
          <w:bCs/>
          <w:i/>
          <w:iCs/>
          <w:sz w:val="26"/>
          <w:szCs w:val="26"/>
          <w:lang w:val="es-CO"/>
        </w:rPr>
      </w:pPr>
    </w:p>
    <w:p w14:paraId="25C4C438" w14:textId="77777777" w:rsidR="00406BA1" w:rsidRDefault="00406BA1" w:rsidP="00406BA1">
      <w:pPr>
        <w:spacing w:line="276" w:lineRule="auto"/>
        <w:rPr>
          <w:rFonts w:ascii="Garamond" w:hAnsi="Garamond" w:cs="Times New Roman"/>
          <w:b/>
          <w:bCs/>
          <w:i/>
          <w:iCs/>
          <w:sz w:val="26"/>
          <w:szCs w:val="26"/>
          <w:lang w:val="es-CO"/>
        </w:rPr>
      </w:pPr>
    </w:p>
    <w:p w14:paraId="3F769AAA" w14:textId="77777777" w:rsidR="00406BA1" w:rsidRDefault="00406BA1" w:rsidP="00406BA1">
      <w:pPr>
        <w:spacing w:line="276" w:lineRule="auto"/>
        <w:rPr>
          <w:rFonts w:ascii="Garamond" w:hAnsi="Garamond" w:cs="Times New Roman"/>
          <w:b/>
          <w:bCs/>
          <w:i/>
          <w:iCs/>
          <w:sz w:val="26"/>
          <w:szCs w:val="26"/>
          <w:lang w:val="es-CO"/>
        </w:rPr>
      </w:pPr>
    </w:p>
    <w:p w14:paraId="6F80EF4A" w14:textId="77777777" w:rsidR="00406BA1" w:rsidRDefault="00406BA1" w:rsidP="00406BA1">
      <w:pPr>
        <w:spacing w:line="276" w:lineRule="auto"/>
        <w:rPr>
          <w:rFonts w:ascii="Garamond" w:hAnsi="Garamond" w:cs="Times New Roman"/>
          <w:b/>
          <w:bCs/>
          <w:i/>
          <w:iCs/>
          <w:sz w:val="26"/>
          <w:szCs w:val="26"/>
          <w:lang w:val="es-CO"/>
        </w:rPr>
      </w:pPr>
    </w:p>
    <w:p w14:paraId="1295EF01" w14:textId="77777777" w:rsidR="00406BA1" w:rsidRDefault="00406BA1" w:rsidP="00406BA1">
      <w:pPr>
        <w:spacing w:line="276" w:lineRule="auto"/>
        <w:rPr>
          <w:rFonts w:ascii="Garamond" w:hAnsi="Garamond" w:cs="Times New Roman"/>
          <w:b/>
          <w:bCs/>
          <w:i/>
          <w:iCs/>
          <w:sz w:val="26"/>
          <w:szCs w:val="26"/>
          <w:lang w:val="es-CO"/>
        </w:rPr>
      </w:pPr>
    </w:p>
    <w:p w14:paraId="70566FFE" w14:textId="77777777" w:rsidR="00406BA1" w:rsidRDefault="00406BA1" w:rsidP="00406BA1">
      <w:pPr>
        <w:spacing w:line="276" w:lineRule="auto"/>
        <w:rPr>
          <w:rFonts w:ascii="Garamond" w:hAnsi="Garamond" w:cs="Times New Roman"/>
          <w:b/>
          <w:bCs/>
          <w:i/>
          <w:iCs/>
          <w:sz w:val="26"/>
          <w:szCs w:val="26"/>
          <w:lang w:val="es-CO"/>
        </w:rPr>
      </w:pPr>
    </w:p>
    <w:p w14:paraId="2A6A3A95" w14:textId="1CFEA6EC" w:rsidR="00433708" w:rsidRPr="00406BA1" w:rsidRDefault="00406BA1" w:rsidP="00406BA1">
      <w:pPr>
        <w:spacing w:line="276" w:lineRule="auto"/>
        <w:rPr>
          <w:rFonts w:ascii="Garamond" w:hAnsi="Garamond" w:cs="Times New Roman"/>
          <w:i/>
          <w:iCs/>
          <w:sz w:val="26"/>
          <w:szCs w:val="26"/>
          <w:lang w:val="es-CO"/>
        </w:rPr>
      </w:pPr>
      <w:r w:rsidRPr="00406BA1">
        <w:rPr>
          <w:rFonts w:ascii="Garamond" w:hAnsi="Garamond" w:cs="Times New Roman"/>
          <w:b/>
          <w:bCs/>
          <w:i/>
          <w:iCs/>
          <w:sz w:val="26"/>
          <w:szCs w:val="26"/>
          <w:lang w:val="es-CO"/>
        </w:rPr>
        <w:t>El Rvdo. Simón Bautista</w:t>
      </w:r>
      <w:r w:rsidRPr="00406BA1">
        <w:rPr>
          <w:rFonts w:ascii="Garamond" w:hAnsi="Garamond" w:cs="Times New Roman"/>
          <w:i/>
          <w:iCs/>
          <w:sz w:val="26"/>
          <w:szCs w:val="26"/>
          <w:lang w:val="es-CO"/>
        </w:rPr>
        <w:t xml:space="preserve"> es canónigo misionero para la Iglesia Catedral de Cristo, en Houston, Texas.</w:t>
      </w:r>
    </w:p>
    <w:sectPr w:rsidR="00433708" w:rsidRPr="00406BA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F82E" w14:textId="77777777" w:rsidR="00041015" w:rsidRDefault="00041015" w:rsidP="00563619">
      <w:r>
        <w:separator/>
      </w:r>
    </w:p>
  </w:endnote>
  <w:endnote w:type="continuationSeparator" w:id="0">
    <w:p w14:paraId="1FD54C34" w14:textId="77777777" w:rsidR="00041015" w:rsidRDefault="0004101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7B6D" w14:textId="77777777" w:rsidR="00041015" w:rsidRDefault="00041015" w:rsidP="00563619">
      <w:r>
        <w:separator/>
      </w:r>
    </w:p>
  </w:footnote>
  <w:footnote w:type="continuationSeparator" w:id="0">
    <w:p w14:paraId="4D172661" w14:textId="77777777" w:rsidR="00041015" w:rsidRDefault="0004101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1015"/>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5592"/>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06BA1"/>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71D4"/>
    <w:rsid w:val="006302F1"/>
    <w:rsid w:val="00631BE8"/>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167B5"/>
    <w:rsid w:val="0092132E"/>
    <w:rsid w:val="009329E7"/>
    <w:rsid w:val="00937F19"/>
    <w:rsid w:val="00945777"/>
    <w:rsid w:val="00952F21"/>
    <w:rsid w:val="0095330B"/>
    <w:rsid w:val="00955589"/>
    <w:rsid w:val="00956230"/>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2021-08-22T22:59:00Z</dcterms:created>
  <dcterms:modified xsi:type="dcterms:W3CDTF">2021-08-22T23:00:00Z</dcterms:modified>
</cp:coreProperties>
</file>