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684AC3" w:rsidRDefault="00331ADD" w:rsidP="00684AC3">
      <w:pPr>
        <w:rPr>
          <w:rFonts w:ascii="Garamond" w:hAnsi="Garamond"/>
          <w:bCs/>
          <w:sz w:val="26"/>
          <w:szCs w:val="26"/>
          <w:lang w:val="es-ES"/>
        </w:rPr>
      </w:pPr>
      <w:r w:rsidRPr="00684AC3">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84AC3">
        <w:rPr>
          <w:rFonts w:ascii="Garamond" w:hAnsi="Garamond"/>
          <w:bCs/>
          <w:sz w:val="26"/>
          <w:szCs w:val="26"/>
          <w:lang w:val="es-ES"/>
        </w:rPr>
        <w:br w:type="textWrapping" w:clear="all"/>
      </w:r>
    </w:p>
    <w:p w14:paraId="2886769E" w14:textId="5028B46F" w:rsidR="00FB4624" w:rsidRPr="00684AC3" w:rsidRDefault="00FB4624" w:rsidP="00684AC3">
      <w:pPr>
        <w:rPr>
          <w:rFonts w:ascii="Garamond" w:eastAsia="Times New Roman" w:hAnsi="Garamond" w:cs="Arial"/>
          <w:b/>
          <w:sz w:val="25"/>
          <w:szCs w:val="25"/>
          <w:lang w:val="es-ES"/>
        </w:rPr>
      </w:pPr>
      <w:r w:rsidRPr="00684AC3">
        <w:rPr>
          <w:rFonts w:ascii="Garamond" w:hAnsi="Garamond"/>
          <w:b/>
          <w:sz w:val="25"/>
          <w:szCs w:val="25"/>
          <w:lang w:val="es-ES"/>
        </w:rPr>
        <w:t>Pascua</w:t>
      </w:r>
      <w:r w:rsidR="00702AFA" w:rsidRPr="00684AC3">
        <w:rPr>
          <w:rFonts w:ascii="Garamond" w:hAnsi="Garamond"/>
          <w:b/>
          <w:sz w:val="25"/>
          <w:szCs w:val="25"/>
          <w:lang w:val="es-ES"/>
        </w:rPr>
        <w:t xml:space="preserve"> </w:t>
      </w:r>
      <w:r w:rsidR="00684AC3" w:rsidRPr="00684AC3">
        <w:rPr>
          <w:rFonts w:ascii="Garamond" w:hAnsi="Garamond"/>
          <w:b/>
          <w:sz w:val="25"/>
          <w:szCs w:val="25"/>
          <w:lang w:val="es-ES"/>
        </w:rPr>
        <w:t>5</w:t>
      </w:r>
      <w:r w:rsidR="00685B74" w:rsidRPr="00684AC3">
        <w:rPr>
          <w:rFonts w:ascii="Garamond" w:hAnsi="Garamond"/>
          <w:b/>
          <w:sz w:val="25"/>
          <w:szCs w:val="25"/>
          <w:lang w:val="es-ES"/>
        </w:rPr>
        <w:t xml:space="preserve"> </w:t>
      </w:r>
      <w:r w:rsidRPr="00684AC3">
        <w:rPr>
          <w:rFonts w:ascii="Garamond" w:hAnsi="Garamond"/>
          <w:b/>
          <w:sz w:val="25"/>
          <w:szCs w:val="25"/>
          <w:lang w:val="es-ES"/>
        </w:rPr>
        <w:t>(B)</w:t>
      </w:r>
    </w:p>
    <w:p w14:paraId="1C838E85" w14:textId="77777777" w:rsidR="00684AC3" w:rsidRPr="00684AC3" w:rsidRDefault="00CB07C4" w:rsidP="00684AC3">
      <w:pPr>
        <w:pStyle w:val="NormalWeb"/>
        <w:widowControl w:val="0"/>
        <w:spacing w:before="0" w:beforeAutospacing="0" w:after="0" w:afterAutospacing="0"/>
        <w:rPr>
          <w:rFonts w:ascii="Garamond" w:hAnsi="Garamond"/>
          <w:b/>
          <w:sz w:val="25"/>
          <w:szCs w:val="25"/>
        </w:rPr>
      </w:pPr>
      <w:r w:rsidRPr="00684AC3">
        <w:rPr>
          <w:rFonts w:ascii="Garamond" w:hAnsi="Garamond"/>
          <w:b/>
          <w:sz w:val="25"/>
          <w:szCs w:val="25"/>
          <w:lang w:val="es-ES"/>
        </w:rPr>
        <w:t>LCR</w:t>
      </w:r>
      <w:r w:rsidR="008872DF" w:rsidRPr="00684AC3">
        <w:rPr>
          <w:rFonts w:ascii="Garamond" w:hAnsi="Garamond"/>
          <w:b/>
          <w:sz w:val="25"/>
          <w:szCs w:val="25"/>
          <w:lang w:val="es-ES"/>
        </w:rPr>
        <w:t>:</w:t>
      </w:r>
      <w:r w:rsidR="00441FE1" w:rsidRPr="00684AC3">
        <w:rPr>
          <w:rFonts w:ascii="Garamond" w:hAnsi="Garamond"/>
          <w:b/>
          <w:sz w:val="25"/>
          <w:szCs w:val="25"/>
          <w:lang w:val="es-ES"/>
        </w:rPr>
        <w:t xml:space="preserve"> </w:t>
      </w:r>
      <w:proofErr w:type="spellStart"/>
      <w:r w:rsidR="00684AC3" w:rsidRPr="00684AC3">
        <w:rPr>
          <w:rFonts w:ascii="Garamond" w:hAnsi="Garamond"/>
          <w:b/>
          <w:sz w:val="25"/>
          <w:szCs w:val="25"/>
        </w:rPr>
        <w:t>Hechos</w:t>
      </w:r>
      <w:proofErr w:type="spellEnd"/>
      <w:r w:rsidR="00684AC3" w:rsidRPr="00684AC3">
        <w:rPr>
          <w:rFonts w:ascii="Garamond" w:hAnsi="Garamond"/>
          <w:b/>
          <w:sz w:val="25"/>
          <w:szCs w:val="25"/>
        </w:rPr>
        <w:t xml:space="preserve"> 8:26–40; Salmo 22:25–31 (= 22:24–30 LOC); 1 San Juan 4:7–21; San Juan 15:1–8</w:t>
      </w:r>
    </w:p>
    <w:p w14:paraId="7DFF4EB7" w14:textId="77777777" w:rsidR="00684AC3" w:rsidRPr="00684AC3" w:rsidRDefault="00684AC3" w:rsidP="00684AC3">
      <w:pPr>
        <w:pStyle w:val="NormalWeb"/>
        <w:widowControl w:val="0"/>
        <w:spacing w:before="0" w:beforeAutospacing="0" w:after="0" w:afterAutospacing="0"/>
        <w:rPr>
          <w:rFonts w:ascii="Garamond" w:hAnsi="Garamond"/>
          <w:sz w:val="25"/>
          <w:szCs w:val="25"/>
          <w:lang w:val="es-MX"/>
        </w:rPr>
      </w:pPr>
    </w:p>
    <w:p w14:paraId="467BD0D8"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Podemos ver, a través de la lectura más o menos continua del libro de los Hechos de los Apóstoles, cómo los primeros capítulos nos muestran el avance y desarrollo que va teniendo la Iglesia apostólica; en varias oportunidades nos dice el autor que muchos al escuchar las enseñanzas de los apóstoles, ver los signos que obraban, su forma de vida y testimonio, se unían al “Nuevo Camino” propuesto por ellos. No podemos dejar de subrayar que esta prosperidad de la Iglesia es obra exclusiva del Espíritu Santo y de la fuerza de Jesús Resucitado. Ésa es la intencionalidad de Lucas cuando nos narra cada nuevo avance, los conflictos y contradicciones que la comunidad apostólica tiene que afrontar debido a la resistencia de las autoridades del pueblo.</w:t>
      </w:r>
    </w:p>
    <w:p w14:paraId="1707CCCE"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2148C89D"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Una vez que el autor de Hechos ha ilustrado suficientemente la vida de la comunidad dedica también cierto espacio a la actividad personal o individual. Se nota que Lucas da mucha importancia al testimonio que tiene que aportar cada uno como individuo; por eso le da un especial realce a Esteban a quien presenta prácticamente como el ejemplo de quien es capaz de imitar a cabalidad y hasta las últimas consecuencias al Señor.</w:t>
      </w:r>
    </w:p>
    <w:p w14:paraId="0044F758"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70D1A94E"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 xml:space="preserve">En esa perspectiva el libro de los Hechos de los Apóstoles nos presenta hoy la figura de Felipe en su tarea como misionero, la </w:t>
      </w:r>
      <w:r w:rsidRPr="00684AC3">
        <w:rPr>
          <w:rFonts w:ascii="Garamond" w:hAnsi="Garamond"/>
          <w:i/>
          <w:iCs/>
          <w:sz w:val="25"/>
          <w:szCs w:val="25"/>
          <w:lang w:val="es-MX"/>
        </w:rPr>
        <w:t>iniciativa del Espíritu</w:t>
      </w:r>
      <w:r w:rsidRPr="00684AC3">
        <w:rPr>
          <w:rFonts w:ascii="Garamond" w:hAnsi="Garamond"/>
          <w:sz w:val="25"/>
          <w:szCs w:val="25"/>
          <w:lang w:val="es-MX"/>
        </w:rPr>
        <w:t xml:space="preserve">, que es lo que continuamente está resaltando Lucas, aparece aquí más clara todavía. Felipe recibe una orden que lo lleva, no a la ciudad sino al desierto; no a evangelizar multitudes, sino a una sola persona, a un eunuco. El escenario parece irreal. De hecho, ninguna de las rutas que unía a Gaza con Jerusalén atravesaba el desierto. Sin embargo, por allí transitaba aquel personaje etíope, eunuco y pagano, aunque “simpatizante” de la fe judía, no circuncidado y como tal, excluido. </w:t>
      </w:r>
    </w:p>
    <w:p w14:paraId="36591A56"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135426D8"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 xml:space="preserve">La evangelización de este hombre representa otra apertura trascendental de la Iglesia, en la cual se cumple una profecía: “Si un extranjero se entrega al Señor, no debe decir: «El Señor me tendrá separado de su pueblo.» Ni tampoco el eunuco debe decir: «Yo soy un árbol seco.»”. (Is 56:3). Lucas está exponiendo cómo se comprende y se explica la Escritura en la nueva comunidad. El etíope va leyendo en voz alta uno de los pasajes bíblicos más difíciles de comprender. Hacía siglos que los judíos se preguntaban por la persona que cumpliese exactamente todo lo que contiene la profecía y que realizara en favor del pueblo lo que dice el profeta. Felipe, como Jesús camino de Emaús (Lc 24:45s), ofrece al extranjero la respuesta: es la persona de Jesús, muerto y resucitado, de quien está hablando el profeta (cf. Is 52:13–53:12). </w:t>
      </w:r>
    </w:p>
    <w:p w14:paraId="1E62D887"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51198563"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 xml:space="preserve">La evangelización de Esteban sólo puede tener como consecuencia la conversión del etíope, quien pide el bautismo. ¿Qué le impide recibirlo, ser eunuco, ser extranjero? En la pregunta resuenan las dudas e incertidumbres de las primeras comunidades. Lucas responde que el gesto de Felipe bautizando al etíope es </w:t>
      </w:r>
      <w:r w:rsidRPr="00684AC3">
        <w:rPr>
          <w:rFonts w:ascii="Garamond" w:hAnsi="Garamond"/>
          <w:sz w:val="25"/>
          <w:szCs w:val="25"/>
          <w:lang w:val="es-MX"/>
        </w:rPr>
        <w:lastRenderedPageBreak/>
        <w:t xml:space="preserve">obra de Dios, de su Espíritu. Un símbolo unitario de fecundidad gobierna este bello relato de Lucas: del terreno desierto brota una fuente de agua vivificante, del libro incomprensible brota un sentido que ilumina y transforma, y el estéril recobra nueva vida. De nuevo, Lucas menciona la alegría: el eunuco siguió su camino muy contento. No conocemos su nombre para venerarlo en la Iglesia; quizás su nombre sea multitud. (cf. La Biblia de nuestro pueblo. Comment. in situ). </w:t>
      </w:r>
    </w:p>
    <w:p w14:paraId="5B1F18B4"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5303A741"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 xml:space="preserve">En consonancia con la primera lectura, el evangelio de Juan nos presenta hoy el bello pasaje de la vid y los sarmientos. Recordemos que el pasaje se halla en el contexto de la última cena -que constituye una unidad con el lavatorio de los pies-, después de la cual Juan inserta una serie de enseñanzas y recomendaciones de Jesús a sus discípulos. Pues bien, la alegoría de la vid, a la cual deben estar unidas las ramas para lograr los mejores frutos, es la imagen que elige Jesús para recomendar a sus seguidores que siempre deben estar unidos a él. Fuera de esta unidad con Jesús el discípulo no puede dar el fruto que corresponde a un discípulo. ¿Puede el evangelizador, de cualquier tiempo, transmitir en sus tareas de evangelización la auténtica imagen de Jesús y su propuesta de vida nueva si no está unido a él? Evidentemente no. </w:t>
      </w:r>
    </w:p>
    <w:p w14:paraId="4E3437BD"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444B204E"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En muchos casos hay quienes hablan mucho sobre Jesús; predicadores y hasta grupos alaban y bendicen el nombre de Jesús, sin embargo, los frutos que producen dejan mucho qué desear. Ello quiere decir que no basta con hablar cosas muy bellas de Jesús; no basta con proclamar pasajes enteros de evangelio si no hay intención ni disposición para dejarse moldear por Jesús, si no hay claridad sobre la auténtica propuesta de Jesús. El discípulo que se ha dejado transformar por Jesús, antes que hablar de él, lo transmite y lo proyecta en sus gestos y acciones, ése es el que está unido a Jesús y, por tanto, sus frutos son los que sólo Jesús podría dar; lo contrario es predicarse a sí mismo, vanagloriarse como discípulo de alguien a quien no se le ha dado entrada en el corazón.</w:t>
      </w:r>
    </w:p>
    <w:p w14:paraId="11233797"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0F185AE0"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La vivencia profunda de esa unidad con Jesús nos debe impulsar a anunciar con alegría el mensaje esperanzador y siempre lleno de optimismo tal como él se lo anunció a la generación de su tiempo. El pesimismo y los discursos amenazantes no pueden tener cabida en nuestra predicación porque ya es suficiente para el creyente tener que soportar las amenazas y zozobras de cada día, para tener que escuchar también nuevas y más amenazas en una predicación. No todo discurso sobre Jesús es necesariamente cristiano, no toda obra hecha en nombre de Jesús es cristiana. En nombre de él y de su cruz se sigue persiguiendo, excluyendo y oprimiendo y, lo peor, se sigue explotando a mucha gente a través de verdaderos “programas” de comercio religioso como si la fe fuera un artículo comercial. Ése no es el fruto que produce el que sigue a Jesús según él mismo nos lo dice en el pasaje que escuchamos hoy.</w:t>
      </w:r>
    </w:p>
    <w:p w14:paraId="3462EDA3"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p>
    <w:p w14:paraId="52434AC6" w14:textId="77777777" w:rsidR="00684AC3" w:rsidRPr="00684AC3" w:rsidRDefault="00684AC3" w:rsidP="00684AC3">
      <w:pPr>
        <w:pStyle w:val="NormalWeb"/>
        <w:widowControl w:val="0"/>
        <w:spacing w:before="0" w:beforeAutospacing="0" w:after="0" w:afterAutospacing="0" w:line="276" w:lineRule="auto"/>
        <w:rPr>
          <w:rFonts w:ascii="Garamond" w:hAnsi="Garamond"/>
          <w:sz w:val="25"/>
          <w:szCs w:val="25"/>
          <w:lang w:val="es-MX"/>
        </w:rPr>
      </w:pPr>
      <w:r w:rsidRPr="00684AC3">
        <w:rPr>
          <w:rFonts w:ascii="Garamond" w:hAnsi="Garamond"/>
          <w:sz w:val="25"/>
          <w:szCs w:val="25"/>
          <w:lang w:val="es-MX"/>
        </w:rPr>
        <w:t>Roguemos al Señor para que quienes decimos ser seguidores de Jesús estemos muy atentos a demostrar con nuestras palabras y acciones que de verdad somos esas ramas unidas al único y genuino tronco que es él, como quien nos alimenta continuamente con su fuerza y con su luz. Que él nos libre del orgullo y del egoísmo, que nos dé la sabiduría necesaria para saber discernir cuándo nos estamos alejando de él como tronco, para volver a unirnos a él y mantenernos siempre así.</w:t>
      </w:r>
    </w:p>
    <w:p w14:paraId="7A986F7C" w14:textId="77777777" w:rsidR="00684AC3" w:rsidRPr="00684AC3" w:rsidRDefault="00684AC3" w:rsidP="00684AC3">
      <w:pPr>
        <w:pStyle w:val="NormalWeb"/>
        <w:widowControl w:val="0"/>
        <w:spacing w:before="0" w:beforeAutospacing="0" w:after="0" w:afterAutospacing="0"/>
        <w:rPr>
          <w:rFonts w:ascii="Garamond" w:hAnsi="Garamond"/>
          <w:sz w:val="25"/>
          <w:szCs w:val="25"/>
          <w:lang w:val="es-MX"/>
        </w:rPr>
      </w:pPr>
    </w:p>
    <w:p w14:paraId="70685C10" w14:textId="77777777" w:rsidR="00684AC3" w:rsidRDefault="00684AC3" w:rsidP="00684AC3">
      <w:pPr>
        <w:pStyle w:val="NormalWeb"/>
        <w:widowControl w:val="0"/>
        <w:spacing w:before="0" w:beforeAutospacing="0" w:after="0" w:afterAutospacing="0"/>
        <w:rPr>
          <w:rFonts w:ascii="Garamond" w:hAnsi="Garamond"/>
          <w:b/>
          <w:bCs/>
          <w:i/>
          <w:iCs/>
          <w:sz w:val="25"/>
          <w:szCs w:val="25"/>
          <w:lang w:eastAsia="es-CO"/>
        </w:rPr>
      </w:pPr>
    </w:p>
    <w:p w14:paraId="6648E945" w14:textId="30E58692" w:rsidR="00441FE1" w:rsidRPr="00684AC3" w:rsidRDefault="00684AC3" w:rsidP="00684AC3">
      <w:pPr>
        <w:pStyle w:val="NormalWeb"/>
        <w:widowControl w:val="0"/>
        <w:spacing w:before="0" w:beforeAutospacing="0" w:after="0" w:afterAutospacing="0"/>
        <w:rPr>
          <w:rFonts w:ascii="Garamond" w:hAnsi="Garamond"/>
          <w:sz w:val="25"/>
          <w:szCs w:val="25"/>
          <w:lang w:val="es-MX"/>
        </w:rPr>
      </w:pPr>
      <w:r w:rsidRPr="00684AC3">
        <w:rPr>
          <w:rFonts w:ascii="Garamond" w:hAnsi="Garamond"/>
          <w:b/>
          <w:bCs/>
          <w:i/>
          <w:iCs/>
          <w:sz w:val="25"/>
          <w:szCs w:val="25"/>
          <w:lang w:eastAsia="es-CO"/>
        </w:rPr>
        <w:t xml:space="preserve">El </w:t>
      </w:r>
      <w:proofErr w:type="spellStart"/>
      <w:r w:rsidRPr="00684AC3">
        <w:rPr>
          <w:rFonts w:ascii="Garamond" w:hAnsi="Garamond"/>
          <w:b/>
          <w:bCs/>
          <w:i/>
          <w:iCs/>
          <w:sz w:val="25"/>
          <w:szCs w:val="25"/>
          <w:lang w:eastAsia="es-CO"/>
        </w:rPr>
        <w:t>Rvdo</w:t>
      </w:r>
      <w:proofErr w:type="spellEnd"/>
      <w:r w:rsidRPr="00684AC3">
        <w:rPr>
          <w:rFonts w:ascii="Garamond" w:hAnsi="Garamond"/>
          <w:b/>
          <w:bCs/>
          <w:i/>
          <w:iCs/>
          <w:sz w:val="25"/>
          <w:szCs w:val="25"/>
          <w:lang w:eastAsia="es-CO"/>
        </w:rPr>
        <w:t>. Gonzalo</w:t>
      </w:r>
      <w:r w:rsidRPr="00684AC3">
        <w:rPr>
          <w:rFonts w:ascii="Garamond" w:hAnsi="Garamond"/>
          <w:i/>
          <w:iCs/>
          <w:sz w:val="25"/>
          <w:szCs w:val="25"/>
          <w:lang w:eastAsia="es-CO"/>
        </w:rPr>
        <w:t xml:space="preserve"> </w:t>
      </w:r>
      <w:proofErr w:type="spellStart"/>
      <w:r w:rsidRPr="00684AC3">
        <w:rPr>
          <w:rFonts w:ascii="Garamond" w:hAnsi="Garamond"/>
          <w:b/>
          <w:bCs/>
          <w:i/>
          <w:iCs/>
          <w:sz w:val="25"/>
          <w:szCs w:val="25"/>
          <w:lang w:eastAsia="es-CO"/>
        </w:rPr>
        <w:t>Rendón</w:t>
      </w:r>
      <w:proofErr w:type="spellEnd"/>
      <w:r w:rsidRPr="00684AC3">
        <w:rPr>
          <w:rFonts w:ascii="Garamond" w:hAnsi="Garamond"/>
          <w:i/>
          <w:iCs/>
          <w:sz w:val="25"/>
          <w:szCs w:val="25"/>
          <w:lang w:eastAsia="es-CO"/>
        </w:rPr>
        <w:t xml:space="preserve"> es </w:t>
      </w:r>
      <w:proofErr w:type="spellStart"/>
      <w:r w:rsidRPr="00684AC3">
        <w:rPr>
          <w:rFonts w:ascii="Garamond" w:hAnsi="Garamond"/>
          <w:i/>
          <w:iCs/>
          <w:sz w:val="25"/>
          <w:szCs w:val="25"/>
          <w:lang w:eastAsia="es-CO"/>
        </w:rPr>
        <w:t>clérigo</w:t>
      </w:r>
      <w:proofErr w:type="spellEnd"/>
      <w:r w:rsidRPr="00684AC3">
        <w:rPr>
          <w:rFonts w:ascii="Garamond" w:hAnsi="Garamond"/>
          <w:i/>
          <w:iCs/>
          <w:sz w:val="25"/>
          <w:szCs w:val="25"/>
          <w:lang w:eastAsia="es-CO"/>
        </w:rPr>
        <w:t xml:space="preserve"> de la </w:t>
      </w:r>
      <w:proofErr w:type="spellStart"/>
      <w:r w:rsidRPr="00684AC3">
        <w:rPr>
          <w:rFonts w:ascii="Garamond" w:hAnsi="Garamond"/>
          <w:i/>
          <w:iCs/>
          <w:sz w:val="25"/>
          <w:szCs w:val="25"/>
          <w:lang w:eastAsia="es-CO"/>
        </w:rPr>
        <w:t>Iglesia</w:t>
      </w:r>
      <w:proofErr w:type="spellEnd"/>
      <w:r w:rsidRPr="00684AC3">
        <w:rPr>
          <w:rFonts w:ascii="Garamond" w:hAnsi="Garamond"/>
          <w:i/>
          <w:iCs/>
          <w:sz w:val="25"/>
          <w:szCs w:val="25"/>
          <w:lang w:eastAsia="es-CO"/>
        </w:rPr>
        <w:t xml:space="preserve"> Episcopal de Colombia y es </w:t>
      </w:r>
      <w:proofErr w:type="spellStart"/>
      <w:r w:rsidRPr="00684AC3">
        <w:rPr>
          <w:rFonts w:ascii="Garamond" w:hAnsi="Garamond"/>
          <w:i/>
          <w:iCs/>
          <w:sz w:val="25"/>
          <w:szCs w:val="25"/>
          <w:lang w:eastAsia="es-CO"/>
        </w:rPr>
        <w:t>docente</w:t>
      </w:r>
      <w:proofErr w:type="spellEnd"/>
      <w:r w:rsidRPr="00684AC3">
        <w:rPr>
          <w:rFonts w:ascii="Garamond" w:hAnsi="Garamond"/>
          <w:i/>
          <w:iCs/>
          <w:sz w:val="25"/>
          <w:szCs w:val="25"/>
          <w:lang w:eastAsia="es-CO"/>
        </w:rPr>
        <w:t xml:space="preserve"> </w:t>
      </w:r>
      <w:proofErr w:type="spellStart"/>
      <w:r w:rsidRPr="00684AC3">
        <w:rPr>
          <w:rFonts w:ascii="Garamond" w:hAnsi="Garamond"/>
          <w:i/>
          <w:iCs/>
          <w:sz w:val="25"/>
          <w:szCs w:val="25"/>
          <w:lang w:eastAsia="es-CO"/>
        </w:rPr>
        <w:t>universitario</w:t>
      </w:r>
      <w:proofErr w:type="spellEnd"/>
      <w:r w:rsidRPr="00684AC3">
        <w:rPr>
          <w:rFonts w:ascii="Garamond" w:hAnsi="Garamond"/>
          <w:i/>
          <w:iCs/>
          <w:sz w:val="25"/>
          <w:szCs w:val="25"/>
          <w:lang w:eastAsia="es-CO"/>
        </w:rPr>
        <w:t xml:space="preserve">. </w:t>
      </w:r>
      <w:proofErr w:type="spellStart"/>
      <w:r w:rsidRPr="00684AC3">
        <w:rPr>
          <w:rFonts w:ascii="Garamond" w:hAnsi="Garamond"/>
          <w:i/>
          <w:iCs/>
          <w:sz w:val="25"/>
          <w:szCs w:val="25"/>
          <w:lang w:eastAsia="es-CO"/>
        </w:rPr>
        <w:t>Presta</w:t>
      </w:r>
      <w:proofErr w:type="spellEnd"/>
      <w:r w:rsidRPr="00684AC3">
        <w:rPr>
          <w:rFonts w:ascii="Garamond" w:hAnsi="Garamond"/>
          <w:i/>
          <w:iCs/>
          <w:sz w:val="25"/>
          <w:szCs w:val="25"/>
          <w:lang w:eastAsia="es-CO"/>
        </w:rPr>
        <w:t xml:space="preserve"> sus </w:t>
      </w:r>
      <w:proofErr w:type="spellStart"/>
      <w:r w:rsidRPr="00684AC3">
        <w:rPr>
          <w:rFonts w:ascii="Garamond" w:hAnsi="Garamond"/>
          <w:i/>
          <w:iCs/>
          <w:sz w:val="25"/>
          <w:szCs w:val="25"/>
          <w:lang w:eastAsia="es-CO"/>
        </w:rPr>
        <w:t>servicios</w:t>
      </w:r>
      <w:proofErr w:type="spellEnd"/>
      <w:r w:rsidRPr="00684AC3">
        <w:rPr>
          <w:rFonts w:ascii="Garamond" w:hAnsi="Garamond"/>
          <w:i/>
          <w:iCs/>
          <w:sz w:val="25"/>
          <w:szCs w:val="25"/>
          <w:lang w:eastAsia="es-CO"/>
        </w:rPr>
        <w:t xml:space="preserve"> </w:t>
      </w:r>
      <w:proofErr w:type="spellStart"/>
      <w:r w:rsidRPr="00684AC3">
        <w:rPr>
          <w:rFonts w:ascii="Garamond" w:hAnsi="Garamond"/>
          <w:i/>
          <w:iCs/>
          <w:sz w:val="25"/>
          <w:szCs w:val="25"/>
          <w:lang w:eastAsia="es-CO"/>
        </w:rPr>
        <w:t>en</w:t>
      </w:r>
      <w:proofErr w:type="spellEnd"/>
      <w:r w:rsidRPr="00684AC3">
        <w:rPr>
          <w:rFonts w:ascii="Garamond" w:hAnsi="Garamond"/>
          <w:i/>
          <w:iCs/>
          <w:sz w:val="25"/>
          <w:szCs w:val="25"/>
          <w:lang w:eastAsia="es-CO"/>
        </w:rPr>
        <w:t xml:space="preserve"> la </w:t>
      </w:r>
      <w:proofErr w:type="spellStart"/>
      <w:r w:rsidRPr="00684AC3">
        <w:rPr>
          <w:rFonts w:ascii="Garamond" w:hAnsi="Garamond"/>
          <w:i/>
          <w:iCs/>
          <w:sz w:val="25"/>
          <w:szCs w:val="25"/>
          <w:lang w:eastAsia="es-CO"/>
        </w:rPr>
        <w:t>Parroquia</w:t>
      </w:r>
      <w:proofErr w:type="spellEnd"/>
      <w:r w:rsidRPr="00684AC3">
        <w:rPr>
          <w:rFonts w:ascii="Garamond" w:hAnsi="Garamond"/>
          <w:i/>
          <w:iCs/>
          <w:sz w:val="25"/>
          <w:szCs w:val="25"/>
          <w:lang w:eastAsia="es-CO"/>
        </w:rPr>
        <w:t xml:space="preserve"> San Lucas </w:t>
      </w:r>
      <w:proofErr w:type="spellStart"/>
      <w:r w:rsidRPr="00684AC3">
        <w:rPr>
          <w:rFonts w:ascii="Garamond" w:hAnsi="Garamond"/>
          <w:i/>
          <w:iCs/>
          <w:sz w:val="25"/>
          <w:szCs w:val="25"/>
          <w:lang w:eastAsia="es-CO"/>
        </w:rPr>
        <w:t>en</w:t>
      </w:r>
      <w:proofErr w:type="spellEnd"/>
      <w:r w:rsidRPr="00684AC3">
        <w:rPr>
          <w:rFonts w:ascii="Garamond" w:hAnsi="Garamond"/>
          <w:i/>
          <w:iCs/>
          <w:sz w:val="25"/>
          <w:szCs w:val="25"/>
          <w:lang w:eastAsia="es-CO"/>
        </w:rPr>
        <w:t xml:space="preserve"> Medellín, y es Rector y </w:t>
      </w:r>
      <w:proofErr w:type="spellStart"/>
      <w:r w:rsidRPr="00684AC3">
        <w:rPr>
          <w:rFonts w:ascii="Garamond" w:hAnsi="Garamond"/>
          <w:i/>
          <w:iCs/>
          <w:sz w:val="25"/>
          <w:szCs w:val="25"/>
          <w:lang w:eastAsia="es-CO"/>
        </w:rPr>
        <w:t>profesor</w:t>
      </w:r>
      <w:proofErr w:type="spellEnd"/>
      <w:r w:rsidRPr="00684AC3">
        <w:rPr>
          <w:rFonts w:ascii="Garamond" w:hAnsi="Garamond"/>
          <w:i/>
          <w:iCs/>
          <w:sz w:val="25"/>
          <w:szCs w:val="25"/>
          <w:lang w:eastAsia="es-CO"/>
        </w:rPr>
        <w:t xml:space="preserve"> del Centro de </w:t>
      </w:r>
      <w:proofErr w:type="spellStart"/>
      <w:r w:rsidRPr="00684AC3">
        <w:rPr>
          <w:rFonts w:ascii="Garamond" w:hAnsi="Garamond"/>
          <w:i/>
          <w:iCs/>
          <w:sz w:val="25"/>
          <w:szCs w:val="25"/>
          <w:lang w:eastAsia="es-CO"/>
        </w:rPr>
        <w:t>Estudios</w:t>
      </w:r>
      <w:proofErr w:type="spellEnd"/>
      <w:r w:rsidRPr="00684AC3">
        <w:rPr>
          <w:rFonts w:ascii="Garamond" w:hAnsi="Garamond"/>
          <w:i/>
          <w:iCs/>
          <w:sz w:val="25"/>
          <w:szCs w:val="25"/>
          <w:lang w:eastAsia="es-CO"/>
        </w:rPr>
        <w:t xml:space="preserve"> </w:t>
      </w:r>
      <w:proofErr w:type="spellStart"/>
      <w:r w:rsidRPr="00684AC3">
        <w:rPr>
          <w:rFonts w:ascii="Garamond" w:hAnsi="Garamond"/>
          <w:i/>
          <w:iCs/>
          <w:sz w:val="25"/>
          <w:szCs w:val="25"/>
          <w:lang w:eastAsia="es-CO"/>
        </w:rPr>
        <w:t>Teológicos</w:t>
      </w:r>
      <w:proofErr w:type="spellEnd"/>
      <w:r w:rsidRPr="00684AC3">
        <w:rPr>
          <w:rFonts w:ascii="Garamond" w:hAnsi="Garamond"/>
          <w:i/>
          <w:iCs/>
          <w:sz w:val="25"/>
          <w:szCs w:val="25"/>
          <w:lang w:eastAsia="es-CO"/>
        </w:rPr>
        <w:t xml:space="preserve"> (CET) de la </w:t>
      </w:r>
      <w:proofErr w:type="spellStart"/>
      <w:r w:rsidRPr="00684AC3">
        <w:rPr>
          <w:rFonts w:ascii="Garamond" w:hAnsi="Garamond"/>
          <w:i/>
          <w:iCs/>
          <w:sz w:val="25"/>
          <w:szCs w:val="25"/>
          <w:lang w:eastAsia="es-CO"/>
        </w:rPr>
        <w:t>Diócesis</w:t>
      </w:r>
      <w:proofErr w:type="spellEnd"/>
      <w:r w:rsidRPr="00684AC3">
        <w:rPr>
          <w:rFonts w:ascii="Garamond" w:hAnsi="Garamond"/>
          <w:i/>
          <w:iCs/>
          <w:sz w:val="25"/>
          <w:szCs w:val="25"/>
          <w:lang w:eastAsia="es-CO"/>
        </w:rPr>
        <w:t xml:space="preserve"> de Colombia.</w:t>
      </w:r>
    </w:p>
    <w:sectPr w:rsidR="00441FE1" w:rsidRPr="00684AC3" w:rsidSect="00D2460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9343" w14:textId="77777777" w:rsidR="00D2460D" w:rsidRDefault="00D2460D" w:rsidP="00563619">
      <w:r>
        <w:separator/>
      </w:r>
    </w:p>
  </w:endnote>
  <w:endnote w:type="continuationSeparator" w:id="0">
    <w:p w14:paraId="795C1FDB" w14:textId="77777777" w:rsidR="00D2460D" w:rsidRDefault="00D2460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5C0E" w14:textId="77777777" w:rsidR="00D2460D" w:rsidRDefault="00D2460D" w:rsidP="00563619">
      <w:r>
        <w:separator/>
      </w:r>
    </w:p>
  </w:footnote>
  <w:footnote w:type="continuationSeparator" w:id="0">
    <w:p w14:paraId="25352CF9" w14:textId="77777777" w:rsidR="00D2460D" w:rsidRDefault="00D2460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2460D"/>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2024-04-11T17:25:00Z</cp:lastPrinted>
  <dcterms:created xsi:type="dcterms:W3CDTF">2024-04-11T17:25:00Z</dcterms:created>
  <dcterms:modified xsi:type="dcterms:W3CDTF">2024-04-11T17:26:00Z</dcterms:modified>
</cp:coreProperties>
</file>